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1B208">
      <w:pPr>
        <w:jc w:val="center"/>
        <w:rPr>
          <w:rFonts w:ascii="黑体" w:hAnsi="黑体" w:eastAsia="黑体"/>
          <w:sz w:val="30"/>
          <w:szCs w:val="30"/>
        </w:rPr>
      </w:pPr>
      <w:r>
        <w:rPr>
          <w:rFonts w:hint="eastAsia" w:ascii="黑体" w:hAnsi="黑体" w:eastAsia="黑体"/>
          <w:sz w:val="30"/>
          <w:szCs w:val="30"/>
          <w:lang w:val="en-US" w:eastAsia="zh-CN"/>
        </w:rPr>
        <w:t>华兰生物疫苗</w:t>
      </w:r>
      <w:r>
        <w:rPr>
          <w:rFonts w:hint="eastAsia" w:ascii="黑体" w:hAnsi="黑体" w:eastAsia="黑体"/>
          <w:sz w:val="30"/>
          <w:szCs w:val="30"/>
        </w:rPr>
        <w:t>股份有限公司</w:t>
      </w:r>
    </w:p>
    <w:p w14:paraId="1F27CA3B">
      <w:pPr>
        <w:jc w:val="center"/>
        <w:rPr>
          <w:rFonts w:hint="eastAsia" w:ascii="黑体" w:hAnsi="黑体" w:eastAsia="黑体"/>
          <w:sz w:val="30"/>
          <w:szCs w:val="30"/>
          <w:lang w:val="en-US" w:eastAsia="zh-CN"/>
        </w:rPr>
      </w:pPr>
      <w:r>
        <w:rPr>
          <w:rFonts w:hint="eastAsia" w:ascii="黑体" w:hAnsi="黑体" w:eastAsia="黑体"/>
          <w:sz w:val="30"/>
          <w:szCs w:val="30"/>
        </w:rPr>
        <w:t>关于</w:t>
      </w:r>
      <w:r>
        <w:rPr>
          <w:rFonts w:hint="eastAsia" w:ascii="黑体" w:hAnsi="黑体" w:eastAsia="黑体"/>
          <w:sz w:val="30"/>
          <w:szCs w:val="30"/>
          <w:lang w:val="en-US" w:eastAsia="zh-CN"/>
        </w:rPr>
        <w:t>以邀请招标</w:t>
      </w:r>
      <w:r>
        <w:rPr>
          <w:rFonts w:hint="eastAsia" w:ascii="黑体" w:hAnsi="黑体" w:eastAsia="黑体"/>
          <w:sz w:val="30"/>
          <w:szCs w:val="30"/>
        </w:rPr>
        <w:t>方式选聘会计师事务所的</w:t>
      </w:r>
      <w:r>
        <w:rPr>
          <w:rFonts w:hint="eastAsia" w:ascii="黑体" w:hAnsi="黑体" w:eastAsia="黑体"/>
          <w:sz w:val="30"/>
          <w:szCs w:val="30"/>
          <w:lang w:val="en-US" w:eastAsia="zh-CN"/>
        </w:rPr>
        <w:t>公告</w:t>
      </w:r>
    </w:p>
    <w:p w14:paraId="4780A865">
      <w:pPr>
        <w:spacing w:line="540" w:lineRule="exact"/>
        <w:ind w:firstLine="560" w:firstLineChars="200"/>
        <w:rPr>
          <w:rFonts w:hint="eastAsia" w:ascii="仿宋" w:hAnsi="仿宋" w:eastAsia="仿宋" w:cs="仿宋"/>
          <w:sz w:val="28"/>
          <w:szCs w:val="28"/>
          <w:lang w:val="en-US" w:eastAsia="zh-CN"/>
        </w:rPr>
      </w:pPr>
    </w:p>
    <w:p w14:paraId="572A30C1">
      <w:pPr>
        <w:spacing w:line="54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根据《</w:t>
      </w:r>
      <w:r>
        <w:rPr>
          <w:rFonts w:hint="eastAsia" w:ascii="仿宋" w:hAnsi="仿宋" w:eastAsia="仿宋" w:cs="仿宋"/>
          <w:sz w:val="28"/>
          <w:szCs w:val="28"/>
        </w:rPr>
        <w:t>国有企业、上市公司选聘会计师事务所管理办法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公司</w:t>
      </w:r>
      <w:r>
        <w:rPr>
          <w:rFonts w:hint="eastAsia" w:ascii="仿宋" w:hAnsi="仿宋" w:eastAsia="仿宋" w:cs="仿宋"/>
          <w:sz w:val="28"/>
          <w:szCs w:val="28"/>
        </w:rPr>
        <w:t>会计师事务所选聘制度</w:t>
      </w:r>
      <w:r>
        <w:rPr>
          <w:rFonts w:hint="eastAsia" w:ascii="仿宋" w:hAnsi="仿宋" w:eastAsia="仿宋" w:cs="仿宋"/>
          <w:sz w:val="28"/>
          <w:szCs w:val="28"/>
          <w:lang w:val="en-US" w:eastAsia="zh-CN"/>
        </w:rPr>
        <w:t>》等</w:t>
      </w:r>
      <w:r>
        <w:rPr>
          <w:rFonts w:hint="eastAsia" w:ascii="仿宋" w:hAnsi="仿宋" w:eastAsia="仿宋" w:cs="仿宋"/>
          <w:sz w:val="28"/>
          <w:szCs w:val="28"/>
        </w:rPr>
        <w:t>相关法律法规及政策要求</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公司拟</w:t>
      </w:r>
      <w:r>
        <w:rPr>
          <w:rFonts w:hint="eastAsia" w:ascii="仿宋" w:hAnsi="仿宋" w:eastAsia="仿宋" w:cs="仿宋"/>
          <w:sz w:val="28"/>
          <w:szCs w:val="28"/>
        </w:rPr>
        <w:t>通过</w:t>
      </w:r>
      <w:r>
        <w:rPr>
          <w:rFonts w:hint="eastAsia" w:ascii="仿宋" w:hAnsi="仿宋" w:eastAsia="仿宋" w:cs="仿宋"/>
          <w:b w:val="0"/>
          <w:bCs w:val="0"/>
          <w:sz w:val="28"/>
          <w:szCs w:val="28"/>
        </w:rPr>
        <w:t>邀请招标</w:t>
      </w:r>
      <w:r>
        <w:rPr>
          <w:rFonts w:hint="eastAsia" w:ascii="仿宋" w:hAnsi="仿宋" w:eastAsia="仿宋" w:cs="仿宋"/>
          <w:sz w:val="28"/>
          <w:szCs w:val="28"/>
        </w:rPr>
        <w:t>选聘一家会计师事务所，承担我</w:t>
      </w:r>
      <w:r>
        <w:rPr>
          <w:rFonts w:hint="eastAsia" w:ascii="仿宋" w:hAnsi="仿宋" w:eastAsia="仿宋" w:cs="仿宋"/>
          <w:sz w:val="28"/>
          <w:szCs w:val="28"/>
          <w:lang w:val="en-US" w:eastAsia="zh-CN"/>
        </w:rPr>
        <w:t>公司</w:t>
      </w:r>
      <w:r>
        <w:rPr>
          <w:rFonts w:hint="eastAsia" w:ascii="仿宋" w:hAnsi="仿宋" w:eastAsia="仿宋" w:cs="仿宋"/>
          <w:sz w:val="28"/>
          <w:szCs w:val="28"/>
        </w:rPr>
        <w:t>定期财务报告审计</w:t>
      </w:r>
      <w:r>
        <w:rPr>
          <w:rFonts w:hint="eastAsia" w:ascii="仿宋" w:hAnsi="仿宋" w:eastAsia="仿宋" w:cs="仿宋"/>
          <w:sz w:val="28"/>
          <w:szCs w:val="28"/>
          <w:lang w:eastAsia="zh-CN"/>
        </w:rPr>
        <w:t>、</w:t>
      </w:r>
      <w:r>
        <w:rPr>
          <w:rFonts w:hint="eastAsia" w:ascii="仿宋" w:hAnsi="仿宋" w:eastAsia="仿宋" w:cs="仿宋"/>
          <w:sz w:val="28"/>
          <w:szCs w:val="28"/>
        </w:rPr>
        <w:t>内部控制审计及其他年报信息披露</w:t>
      </w:r>
      <w:r>
        <w:rPr>
          <w:rFonts w:hint="eastAsia" w:ascii="仿宋" w:hAnsi="仿宋" w:eastAsia="仿宋" w:cs="仿宋"/>
          <w:sz w:val="28"/>
          <w:szCs w:val="28"/>
          <w:lang w:eastAsia="zh-CN"/>
        </w:rPr>
        <w:t>等相关</w:t>
      </w:r>
      <w:r>
        <w:rPr>
          <w:rFonts w:hint="eastAsia" w:ascii="仿宋" w:hAnsi="仿宋" w:eastAsia="仿宋" w:cs="仿宋"/>
          <w:sz w:val="28"/>
          <w:szCs w:val="28"/>
        </w:rPr>
        <w:t>专业</w:t>
      </w:r>
      <w:r>
        <w:rPr>
          <w:rFonts w:hint="eastAsia" w:ascii="仿宋" w:hAnsi="仿宋" w:eastAsia="仿宋" w:cs="仿宋"/>
          <w:sz w:val="28"/>
          <w:szCs w:val="28"/>
          <w:lang w:eastAsia="zh-CN"/>
        </w:rPr>
        <w:t>服务</w:t>
      </w:r>
      <w:r>
        <w:rPr>
          <w:rFonts w:hint="eastAsia" w:ascii="仿宋" w:hAnsi="仿宋" w:eastAsia="仿宋" w:cs="仿宋"/>
          <w:sz w:val="28"/>
          <w:szCs w:val="28"/>
        </w:rPr>
        <w:t>。现将有关事项公告如下：</w:t>
      </w:r>
    </w:p>
    <w:p w14:paraId="30F57748">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一、项目名称</w:t>
      </w:r>
      <w:r>
        <w:rPr>
          <w:rFonts w:hint="eastAsia" w:ascii="仿宋" w:hAnsi="仿宋" w:eastAsia="仿宋" w:cs="仿宋"/>
          <w:sz w:val="28"/>
          <w:szCs w:val="28"/>
        </w:rPr>
        <w:t>：</w:t>
      </w:r>
      <w:r>
        <w:rPr>
          <w:rFonts w:hint="eastAsia" w:ascii="仿宋" w:hAnsi="仿宋" w:eastAsia="仿宋" w:cs="仿宋"/>
          <w:sz w:val="28"/>
          <w:szCs w:val="28"/>
          <w:lang w:val="en-US" w:eastAsia="zh-CN"/>
        </w:rPr>
        <w:t>华兰生物疫苗</w:t>
      </w:r>
      <w:r>
        <w:rPr>
          <w:rFonts w:hint="eastAsia" w:ascii="仿宋" w:hAnsi="仿宋" w:eastAsia="仿宋" w:cs="仿宋"/>
          <w:sz w:val="28"/>
          <w:szCs w:val="28"/>
        </w:rPr>
        <w:t>股份有限公司选聘会计师事务所</w:t>
      </w:r>
    </w:p>
    <w:p w14:paraId="53EDE3F1">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二、招标范围</w:t>
      </w:r>
      <w:r>
        <w:rPr>
          <w:rFonts w:hint="eastAsia" w:ascii="仿宋" w:hAnsi="仿宋" w:eastAsia="仿宋" w:cs="仿宋"/>
          <w:sz w:val="28"/>
          <w:szCs w:val="28"/>
        </w:rPr>
        <w:t>：</w:t>
      </w:r>
      <w:r>
        <w:rPr>
          <w:rFonts w:hint="eastAsia" w:ascii="仿宋" w:hAnsi="仿宋" w:eastAsia="仿宋" w:cs="仿宋"/>
          <w:sz w:val="28"/>
          <w:szCs w:val="28"/>
          <w:lang w:val="en-US" w:eastAsia="zh-CN"/>
        </w:rPr>
        <w:t>华兰生物疫苗</w:t>
      </w:r>
      <w:r>
        <w:rPr>
          <w:rFonts w:hint="eastAsia" w:ascii="仿宋" w:hAnsi="仿宋" w:eastAsia="仿宋" w:cs="仿宋"/>
          <w:sz w:val="28"/>
          <w:szCs w:val="28"/>
        </w:rPr>
        <w:t>股份有限公司定期财务报告审计和内部控制审计及其他年报信息披露</w:t>
      </w:r>
      <w:r>
        <w:rPr>
          <w:rFonts w:hint="eastAsia" w:ascii="仿宋" w:hAnsi="仿宋" w:eastAsia="仿宋" w:cs="仿宋"/>
          <w:sz w:val="28"/>
          <w:szCs w:val="28"/>
          <w:lang w:eastAsia="zh-CN"/>
        </w:rPr>
        <w:t>等相关</w:t>
      </w:r>
      <w:r>
        <w:rPr>
          <w:rFonts w:hint="eastAsia" w:ascii="仿宋" w:hAnsi="仿宋" w:eastAsia="仿宋" w:cs="仿宋"/>
          <w:sz w:val="28"/>
          <w:szCs w:val="28"/>
        </w:rPr>
        <w:t>专业服务</w:t>
      </w:r>
    </w:p>
    <w:p w14:paraId="684E65C5">
      <w:pPr>
        <w:pStyle w:val="9"/>
        <w:spacing w:line="540" w:lineRule="exact"/>
        <w:ind w:firstLine="562" w:firstLineChars="200"/>
        <w:rPr>
          <w:rFonts w:hint="eastAsia" w:ascii="仿宋" w:hAnsi="仿宋" w:eastAsia="仿宋" w:cs="仿宋"/>
          <w:bCs/>
          <w:sz w:val="28"/>
          <w:szCs w:val="28"/>
          <w:lang w:val="en-US" w:eastAsia="zh-CN"/>
        </w:rPr>
      </w:pPr>
      <w:r>
        <w:rPr>
          <w:rFonts w:hint="eastAsia" w:ascii="仿宋" w:hAnsi="仿宋" w:eastAsia="仿宋" w:cs="仿宋"/>
          <w:bCs/>
          <w:sz w:val="28"/>
          <w:szCs w:val="28"/>
        </w:rPr>
        <w:t>三、招标方式：</w:t>
      </w:r>
      <w:r>
        <w:rPr>
          <w:rFonts w:hint="eastAsia" w:ascii="仿宋" w:hAnsi="仿宋" w:eastAsia="仿宋" w:cs="仿宋"/>
          <w:b w:val="0"/>
          <w:bCs w:val="0"/>
          <w:sz w:val="28"/>
          <w:szCs w:val="28"/>
        </w:rPr>
        <w:t>邀请招标</w:t>
      </w:r>
      <w:r>
        <w:rPr>
          <w:rFonts w:hint="eastAsia" w:ascii="仿宋" w:hAnsi="仿宋" w:eastAsia="仿宋" w:cs="仿宋"/>
          <w:b w:val="0"/>
          <w:bCs w:val="0"/>
          <w:sz w:val="28"/>
          <w:szCs w:val="28"/>
          <w:lang w:val="en-US" w:eastAsia="zh-CN"/>
        </w:rPr>
        <w:t>方式</w:t>
      </w:r>
    </w:p>
    <w:p w14:paraId="22A332E0">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四、服务期限</w:t>
      </w: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年度</w:t>
      </w:r>
      <w:r>
        <w:rPr>
          <w:rFonts w:hint="eastAsia" w:ascii="仿宋" w:hAnsi="仿宋" w:eastAsia="仿宋" w:cs="仿宋"/>
          <w:sz w:val="28"/>
          <w:szCs w:val="28"/>
          <w:lang w:eastAsia="zh-CN"/>
        </w:rPr>
        <w:t>—</w:t>
      </w:r>
      <w:r>
        <w:rPr>
          <w:rFonts w:hint="eastAsia" w:ascii="仿宋" w:hAnsi="仿宋" w:eastAsia="仿宋" w:cs="仿宋"/>
          <w:sz w:val="28"/>
          <w:szCs w:val="28"/>
        </w:rPr>
        <w:t>20</w:t>
      </w:r>
      <w:r>
        <w:rPr>
          <w:rFonts w:hint="eastAsia" w:ascii="仿宋" w:hAnsi="仿宋" w:eastAsia="仿宋" w:cs="仿宋"/>
          <w:sz w:val="28"/>
          <w:szCs w:val="28"/>
          <w:lang w:val="en-US" w:eastAsia="zh-CN"/>
        </w:rPr>
        <w:t>30</w:t>
      </w:r>
      <w:r>
        <w:rPr>
          <w:rFonts w:hint="eastAsia" w:ascii="仿宋" w:hAnsi="仿宋" w:eastAsia="仿宋" w:cs="仿宋"/>
          <w:sz w:val="28"/>
          <w:szCs w:val="28"/>
        </w:rPr>
        <w:t>年度，服务协议一年一签。如中标方提供的服务达不到招标方要求，招标方保留不续签协议的权利，无需经投标人同意。</w:t>
      </w:r>
    </w:p>
    <w:p w14:paraId="69E37BF6">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五、服务地点</w:t>
      </w:r>
      <w:r>
        <w:rPr>
          <w:rFonts w:hint="eastAsia" w:ascii="仿宋" w:hAnsi="仿宋" w:eastAsia="仿宋" w:cs="仿宋"/>
          <w:sz w:val="28"/>
          <w:szCs w:val="28"/>
        </w:rPr>
        <w:t>：招标人指定地点</w:t>
      </w:r>
    </w:p>
    <w:p w14:paraId="57177C3C">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六、质量要求</w:t>
      </w:r>
      <w:r>
        <w:rPr>
          <w:rFonts w:hint="eastAsia" w:ascii="仿宋" w:hAnsi="仿宋" w:eastAsia="仿宋" w:cs="仿宋"/>
          <w:sz w:val="28"/>
          <w:szCs w:val="28"/>
        </w:rPr>
        <w:t>：符合国家、行业相关</w:t>
      </w:r>
      <w:r>
        <w:rPr>
          <w:rFonts w:hint="eastAsia" w:ascii="仿宋" w:hAnsi="仿宋" w:eastAsia="仿宋" w:cs="仿宋"/>
          <w:sz w:val="28"/>
          <w:szCs w:val="28"/>
          <w:lang w:eastAsia="zh-CN"/>
        </w:rPr>
        <w:t>规范</w:t>
      </w:r>
      <w:r>
        <w:rPr>
          <w:rFonts w:hint="eastAsia" w:ascii="仿宋" w:hAnsi="仿宋" w:eastAsia="仿宋" w:cs="仿宋"/>
          <w:sz w:val="28"/>
          <w:szCs w:val="28"/>
        </w:rPr>
        <w:t>及招标人要求</w:t>
      </w:r>
    </w:p>
    <w:p w14:paraId="3B05EAE8">
      <w:pPr>
        <w:spacing w:line="54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七、投标人资格要求</w:t>
      </w:r>
    </w:p>
    <w:p w14:paraId="6D118957">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（一）投标人在中国境内依法注册成立三年以上（含3年），具有相应的经营资质，投标时提交有效的营业执照副本复印件。</w:t>
      </w:r>
    </w:p>
    <w:p w14:paraId="104D740B">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（二）投标人应具有省级</w:t>
      </w:r>
      <w:r>
        <w:rPr>
          <w:rFonts w:hint="eastAsia" w:ascii="仿宋" w:hAnsi="仿宋" w:eastAsia="仿宋" w:cs="仿宋"/>
          <w:sz w:val="28"/>
          <w:szCs w:val="28"/>
          <w:lang w:val="en-US" w:eastAsia="zh-CN"/>
        </w:rPr>
        <w:t>及以上</w:t>
      </w:r>
      <w:r>
        <w:rPr>
          <w:rFonts w:hint="eastAsia" w:ascii="仿宋" w:hAnsi="仿宋" w:eastAsia="仿宋" w:cs="仿宋"/>
          <w:sz w:val="28"/>
          <w:szCs w:val="28"/>
        </w:rPr>
        <w:t>财政部门颁发的会计师事务所执业证书，具有独立的法人资格，具备国家行业主管部门和中国证券监督管理委员会（以下简称“中国证监会”）规定的开展证券期货相关业务所需的执业资格；且从事证券服务业务已在国务院证券监督管理机构备案（提供相关证件等证明资料</w:t>
      </w:r>
      <w:r>
        <w:rPr>
          <w:rFonts w:hint="eastAsia" w:ascii="仿宋" w:hAnsi="仿宋" w:eastAsia="仿宋" w:cs="仿宋"/>
          <w:sz w:val="28"/>
          <w:szCs w:val="28"/>
          <w:lang w:eastAsia="zh-CN"/>
        </w:rPr>
        <w:t>）；</w:t>
      </w:r>
      <w:r>
        <w:rPr>
          <w:rFonts w:hint="eastAsia" w:ascii="仿宋" w:hAnsi="仿宋" w:eastAsia="仿宋" w:cs="仿宋"/>
          <w:sz w:val="28"/>
          <w:szCs w:val="28"/>
        </w:rPr>
        <w:t>具有完善的内部执业质量控制管理制度和良好的商业信誉（需提供书面承诺）。</w:t>
      </w:r>
    </w:p>
    <w:p w14:paraId="1A65699B">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（三）投标人应提供近三年（202</w:t>
      </w:r>
      <w:r>
        <w:rPr>
          <w:rFonts w:hint="eastAsia" w:ascii="仿宋" w:hAnsi="仿宋" w:eastAsia="仿宋" w:cs="仿宋"/>
          <w:sz w:val="28"/>
          <w:szCs w:val="28"/>
          <w:lang w:val="en-US" w:eastAsia="zh-CN"/>
        </w:rPr>
        <w:t>3</w:t>
      </w:r>
      <w:r>
        <w:rPr>
          <w:rFonts w:hint="eastAsia" w:ascii="仿宋" w:hAnsi="仿宋" w:eastAsia="仿宋" w:cs="仿宋"/>
          <w:sz w:val="28"/>
          <w:szCs w:val="28"/>
        </w:rPr>
        <w:t>年、202</w:t>
      </w:r>
      <w:r>
        <w:rPr>
          <w:rFonts w:hint="eastAsia" w:ascii="仿宋" w:hAnsi="仿宋" w:eastAsia="仿宋" w:cs="仿宋"/>
          <w:sz w:val="28"/>
          <w:szCs w:val="28"/>
          <w:lang w:val="en-US" w:eastAsia="zh-CN"/>
        </w:rPr>
        <w:t>4</w:t>
      </w:r>
      <w:r>
        <w:rPr>
          <w:rFonts w:hint="eastAsia" w:ascii="仿宋" w:hAnsi="仿宋" w:eastAsia="仿宋" w:cs="仿宋"/>
          <w:sz w:val="28"/>
          <w:szCs w:val="28"/>
        </w:rPr>
        <w:t>年、202</w:t>
      </w:r>
      <w:r>
        <w:rPr>
          <w:rFonts w:hint="eastAsia" w:ascii="仿宋" w:hAnsi="仿宋" w:eastAsia="仿宋" w:cs="仿宋"/>
          <w:sz w:val="28"/>
          <w:szCs w:val="28"/>
          <w:lang w:val="en-US" w:eastAsia="zh-CN"/>
        </w:rPr>
        <w:t>5</w:t>
      </w:r>
      <w:r>
        <w:rPr>
          <w:rFonts w:hint="eastAsia" w:ascii="仿宋" w:hAnsi="仿宋" w:eastAsia="仿宋" w:cs="仿宋"/>
          <w:sz w:val="28"/>
          <w:szCs w:val="28"/>
        </w:rPr>
        <w:t>年度）的财务报表及审计报告。财务报表包括资产负债表、利润表和现金流量表。</w:t>
      </w:r>
    </w:p>
    <w:p w14:paraId="3F91164E">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（四）拟派本项目的项目负责人应为企业的正式员工：</w:t>
      </w:r>
    </w:p>
    <w:p w14:paraId="3C11949D">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1.具备注册会计师资格，具有五年以上（含五年）工作经验；</w:t>
      </w:r>
    </w:p>
    <w:p w14:paraId="097F228E">
      <w:pPr>
        <w:spacing w:line="54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2.提供与</w:t>
      </w:r>
      <w:r>
        <w:rPr>
          <w:rFonts w:hint="eastAsia" w:ascii="仿宋" w:hAnsi="仿宋" w:eastAsia="仿宋" w:cs="仿宋"/>
          <w:sz w:val="28"/>
          <w:szCs w:val="28"/>
          <w:lang w:val="en-US" w:eastAsia="zh-CN"/>
        </w:rPr>
        <w:t>投标人</w:t>
      </w:r>
      <w:r>
        <w:rPr>
          <w:rFonts w:hint="eastAsia" w:ascii="仿宋" w:hAnsi="仿宋" w:eastAsia="仿宋" w:cs="仿宋"/>
          <w:sz w:val="28"/>
          <w:szCs w:val="28"/>
        </w:rPr>
        <w:t>签订的劳动合同及投标截止日前连续6个月社保缴纳证明</w:t>
      </w:r>
      <w:r>
        <w:rPr>
          <w:rFonts w:hint="eastAsia" w:ascii="仿宋" w:hAnsi="仿宋" w:eastAsia="仿宋" w:cs="仿宋"/>
          <w:sz w:val="28"/>
          <w:szCs w:val="28"/>
          <w:lang w:eastAsia="zh-CN"/>
        </w:rPr>
        <w:t>；</w:t>
      </w:r>
    </w:p>
    <w:p w14:paraId="6D5D5B0E">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3.提供自202</w:t>
      </w:r>
      <w:r>
        <w:rPr>
          <w:rFonts w:hint="eastAsia" w:ascii="仿宋" w:hAnsi="仿宋" w:eastAsia="仿宋" w:cs="仿宋"/>
          <w:sz w:val="28"/>
          <w:szCs w:val="28"/>
          <w:lang w:val="en-US" w:eastAsia="zh-CN"/>
        </w:rPr>
        <w:t>5</w:t>
      </w:r>
      <w:r>
        <w:rPr>
          <w:rFonts w:hint="eastAsia" w:ascii="仿宋" w:hAnsi="仿宋" w:eastAsia="仿宋" w:cs="仿宋"/>
          <w:sz w:val="28"/>
          <w:szCs w:val="28"/>
        </w:rPr>
        <w:t>年1月1日以来担任过上市公司年报审计项目负责人业绩2份（以合同签订日期为准）。</w:t>
      </w:r>
    </w:p>
    <w:p w14:paraId="317B0E24">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（五）投标人应承诺，近三年内在经营活动中无重大违法记录，没有受到行业主管部门暂停执业和责令停业整顿的记录（需提供书面承诺）。</w:t>
      </w:r>
    </w:p>
    <w:p w14:paraId="58DA3DD7">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六）投标人不得存在被列入失信被执行人、严重违法失信企业名单的情形。提供投标人在“信用中国”网站或各级信用信息共享平台的“失信被执行人”查询结果页面截图或信用信息报告，以及投标人在“国家企业信用信息公示系统”网站的“列入严重违法失信企业名单”查询结果页面截图。</w:t>
      </w:r>
    </w:p>
    <w:p w14:paraId="478334E0">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（七）其他事项：</w:t>
      </w:r>
    </w:p>
    <w:p w14:paraId="0F905211">
      <w:pPr>
        <w:widowControl/>
        <w:spacing w:line="54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1.法定代表人为同一人或者存在直接控股、管理关系的不同投标人，不得同时参加本采购项目投标并提供有效声明函原件。</w:t>
      </w:r>
    </w:p>
    <w:p w14:paraId="2EA8FDBD">
      <w:pPr>
        <w:widowControl/>
        <w:spacing w:line="54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2.与招标人存在利害关系可能影响招标公正性的审计机构，不得参加投标。</w:t>
      </w:r>
    </w:p>
    <w:p w14:paraId="241B11E8">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3.本项目不接受联合体、分所投标。</w:t>
      </w:r>
    </w:p>
    <w:p w14:paraId="694D2721">
      <w:pPr>
        <w:spacing w:line="54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八、</w:t>
      </w:r>
      <w:r>
        <w:rPr>
          <w:rFonts w:hint="eastAsia" w:ascii="仿宋" w:hAnsi="仿宋" w:eastAsia="仿宋" w:cs="仿宋"/>
          <w:b/>
          <w:bCs/>
          <w:sz w:val="28"/>
          <w:szCs w:val="28"/>
          <w:lang w:val="en-US" w:eastAsia="zh-CN"/>
        </w:rPr>
        <w:t>所需提供材料清单</w:t>
      </w:r>
    </w:p>
    <w:p w14:paraId="27232D15">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1.营业执照副本复印件和执业证书（加盖公章）。</w:t>
      </w:r>
    </w:p>
    <w:p w14:paraId="185B8C29">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2.法定代表人身份证明书、法定代表人身份证复印件，非法定代表人提供材料的还需要提供法定代表人授权委托书、被授权人身份证复印件（加盖公章）。</w:t>
      </w:r>
    </w:p>
    <w:p w14:paraId="49E790A5">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3.“信用中国”网、中国政府采购网中无失信记录、无违法违规记录等证明（提供查询结果网页截图并加盖公章）。</w:t>
      </w:r>
    </w:p>
    <w:p w14:paraId="55175F9F">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4.项目报价预算详细清单。</w:t>
      </w:r>
    </w:p>
    <w:p w14:paraId="46592412">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5.资质单位简介与主要业绩（</w:t>
      </w: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00字以内</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w:t>
      </w:r>
    </w:p>
    <w:p w14:paraId="4C6D0249">
      <w:pPr>
        <w:widowControl/>
        <w:spacing w:line="540" w:lineRule="exact"/>
        <w:ind w:firstLine="560" w:firstLineChars="200"/>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6.</w:t>
      </w:r>
      <w:r>
        <w:rPr>
          <w:rFonts w:hint="eastAsia" w:ascii="仿宋" w:hAnsi="仿宋" w:eastAsia="仿宋" w:cs="仿宋"/>
          <w:sz w:val="28"/>
          <w:szCs w:val="28"/>
          <w:lang w:val="en-US" w:eastAsia="zh-CN"/>
        </w:rPr>
        <w:t>会计师事务所及拟派项目负责人近三年来负责上市公司或大型企业集团年报审计、重大资产重组、定向增发等</w:t>
      </w:r>
      <w:r>
        <w:rPr>
          <w:rFonts w:hint="default" w:ascii="仿宋" w:hAnsi="仿宋" w:eastAsia="仿宋" w:cs="仿宋"/>
          <w:sz w:val="28"/>
          <w:szCs w:val="28"/>
          <w:lang w:val="en-US" w:eastAsia="zh-CN"/>
        </w:rPr>
        <w:t>业务经验</w:t>
      </w:r>
      <w:r>
        <w:rPr>
          <w:rFonts w:hint="eastAsia" w:ascii="仿宋" w:hAnsi="仿宋" w:eastAsia="仿宋" w:cs="仿宋"/>
          <w:sz w:val="28"/>
          <w:szCs w:val="28"/>
          <w:lang w:val="en-US" w:eastAsia="zh-CN"/>
        </w:rPr>
        <w:t>情况</w:t>
      </w:r>
      <w:r>
        <w:rPr>
          <w:rFonts w:hint="default" w:ascii="仿宋" w:hAnsi="仿宋" w:eastAsia="仿宋" w:cs="仿宋"/>
          <w:sz w:val="28"/>
          <w:szCs w:val="28"/>
          <w:lang w:val="en-US" w:eastAsia="zh-CN"/>
        </w:rPr>
        <w:t>（需附审计合同或审计报告，审计报告最多提供5份）。</w:t>
      </w:r>
    </w:p>
    <w:p w14:paraId="070E4B67">
      <w:pPr>
        <w:widowControl/>
        <w:spacing w:line="540" w:lineRule="exact"/>
        <w:ind w:firstLine="560" w:firstLineChars="200"/>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7.质量管理</w:t>
      </w:r>
      <w:r>
        <w:rPr>
          <w:rFonts w:hint="eastAsia" w:ascii="仿宋" w:hAnsi="仿宋" w:eastAsia="仿宋" w:cs="仿宋"/>
          <w:sz w:val="28"/>
          <w:szCs w:val="28"/>
          <w:lang w:val="en-US" w:eastAsia="zh-CN"/>
        </w:rPr>
        <w:t>方案，包括但不限于项目咨询、意见分歧解决机制、质量复核管理制度和执行标准、质量检查管理制度、流程和评价标准、质量管理缺陷识别与整改管理制度、流程和执行标准等。</w:t>
      </w:r>
    </w:p>
    <w:p w14:paraId="55F75F17">
      <w:pPr>
        <w:widowControl/>
        <w:spacing w:line="540" w:lineRule="exact"/>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8.审计工作方案，包括但不限于根据公司行业特点拟定的工作方案、信息安全管理制度、风险控制制度和质量管理问责机制等</w:t>
      </w:r>
      <w:r>
        <w:rPr>
          <w:rFonts w:hint="default" w:ascii="仿宋" w:hAnsi="仿宋" w:eastAsia="仿宋" w:cs="仿宋"/>
          <w:sz w:val="28"/>
          <w:szCs w:val="28"/>
          <w:lang w:val="en-US" w:eastAsia="zh-CN"/>
        </w:rPr>
        <w:t>（如时间安排、人员安排、相关人员资质证明等）。</w:t>
      </w:r>
    </w:p>
    <w:p w14:paraId="36F5219D">
      <w:pPr>
        <w:widowControl/>
        <w:spacing w:line="540" w:lineRule="exact"/>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9.上述第七条投标人资格文件中本条未列示的内容</w:t>
      </w:r>
    </w:p>
    <w:p w14:paraId="03D4F951">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注：以上投标材料（1式</w:t>
      </w: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份）须盖公章、签字、注明日期，封装在一个文件袋中，选聘结束后，所有材料不予退还。</w:t>
      </w:r>
    </w:p>
    <w:p w14:paraId="4DB19D5E">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九、投标报价要求</w:t>
      </w:r>
    </w:p>
    <w:p w14:paraId="659E0E5E">
      <w:pPr>
        <w:widowControl/>
        <w:spacing w:line="540" w:lineRule="exact"/>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1.基准价</w:t>
      </w:r>
    </w:p>
    <w:p w14:paraId="35EDDAD0">
      <w:pPr>
        <w:widowControl/>
        <w:spacing w:line="540" w:lineRule="exact"/>
        <w:ind w:firstLine="560" w:firstLineChars="200"/>
        <w:jc w:val="left"/>
        <w:rPr>
          <w:rFonts w:hint="eastAsia" w:ascii="仿宋" w:hAnsi="仿宋" w:eastAsia="仿宋" w:cs="仿宋"/>
          <w:sz w:val="28"/>
          <w:szCs w:val="28"/>
          <w:lang w:eastAsia="zh-CN"/>
        </w:rPr>
      </w:pPr>
      <w:r>
        <w:rPr>
          <w:rFonts w:hint="default" w:ascii="仿宋" w:hAnsi="仿宋" w:eastAsia="仿宋" w:cs="仿宋"/>
          <w:sz w:val="28"/>
          <w:szCs w:val="28"/>
          <w:lang w:val="en-US" w:eastAsia="zh-CN"/>
        </w:rPr>
        <w:t>项目</w:t>
      </w:r>
      <w:r>
        <w:rPr>
          <w:rFonts w:hint="eastAsia" w:ascii="仿宋" w:hAnsi="仿宋" w:eastAsia="仿宋" w:cs="仿宋"/>
          <w:sz w:val="28"/>
          <w:szCs w:val="28"/>
          <w:lang w:val="en-US" w:eastAsia="zh-CN"/>
        </w:rPr>
        <w:t>基准价为51</w:t>
      </w:r>
      <w:bookmarkStart w:id="0" w:name="_GoBack"/>
      <w:bookmarkEnd w:id="0"/>
      <w:r>
        <w:rPr>
          <w:rFonts w:hint="default" w:ascii="仿宋" w:hAnsi="仿宋" w:eastAsia="仿宋" w:cs="仿宋"/>
          <w:sz w:val="28"/>
          <w:szCs w:val="28"/>
          <w:lang w:val="en-US" w:eastAsia="zh-CN"/>
        </w:rPr>
        <w:t>万元（含税），</w:t>
      </w:r>
      <w:r>
        <w:rPr>
          <w:rFonts w:hint="eastAsia" w:ascii="仿宋" w:hAnsi="仿宋" w:eastAsia="仿宋" w:cs="仿宋"/>
          <w:sz w:val="28"/>
          <w:szCs w:val="28"/>
          <w:lang w:val="en-US" w:eastAsia="zh-CN"/>
        </w:rPr>
        <w:t>投标</w:t>
      </w:r>
      <w:r>
        <w:rPr>
          <w:rFonts w:hint="default" w:ascii="仿宋" w:hAnsi="仿宋" w:eastAsia="仿宋" w:cs="仿宋"/>
          <w:sz w:val="28"/>
          <w:szCs w:val="28"/>
          <w:lang w:val="en-US" w:eastAsia="zh-CN"/>
        </w:rPr>
        <w:t>报价</w:t>
      </w:r>
      <w:r>
        <w:rPr>
          <w:rFonts w:hint="eastAsia" w:ascii="仿宋" w:hAnsi="仿宋" w:eastAsia="仿宋" w:cs="仿宋"/>
          <w:sz w:val="28"/>
          <w:szCs w:val="28"/>
          <w:lang w:val="en-US" w:eastAsia="zh-CN"/>
        </w:rPr>
        <w:t>应</w:t>
      </w:r>
      <w:r>
        <w:rPr>
          <w:rFonts w:hint="default" w:ascii="仿宋" w:hAnsi="仿宋" w:eastAsia="仿宋" w:cs="仿宋"/>
          <w:sz w:val="28"/>
          <w:szCs w:val="28"/>
          <w:lang w:val="en-US" w:eastAsia="zh-CN"/>
        </w:rPr>
        <w:t>包含税费、人工费等承办机构为完成本项目所需的费用。</w:t>
      </w:r>
    </w:p>
    <w:p w14:paraId="31EEFA7D">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2.投标</w:t>
      </w:r>
      <w:r>
        <w:rPr>
          <w:rFonts w:hint="eastAsia" w:ascii="仿宋" w:hAnsi="仿宋" w:eastAsia="仿宋" w:cs="仿宋"/>
          <w:sz w:val="28"/>
          <w:szCs w:val="28"/>
        </w:rPr>
        <w:t>报价应包括所有服务内容的最终报价。</w:t>
      </w:r>
    </w:p>
    <w:p w14:paraId="380C50FF">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所有根据合同或</w:t>
      </w:r>
      <w:r>
        <w:rPr>
          <w:rFonts w:hint="eastAsia" w:ascii="仿宋" w:hAnsi="仿宋" w:eastAsia="仿宋" w:cs="仿宋"/>
          <w:sz w:val="28"/>
          <w:szCs w:val="28"/>
          <w:lang w:eastAsia="zh-CN"/>
        </w:rPr>
        <w:t>其他原因应由投标人支付的税金和其他</w:t>
      </w:r>
      <w:r>
        <w:rPr>
          <w:rFonts w:hint="eastAsia" w:ascii="仿宋" w:hAnsi="仿宋" w:eastAsia="仿宋" w:cs="仿宋"/>
          <w:sz w:val="28"/>
          <w:szCs w:val="28"/>
        </w:rPr>
        <w:t>应缴纳的费用都要包括在投标人提交的投标价格中。</w:t>
      </w:r>
    </w:p>
    <w:p w14:paraId="4B8C1A55">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w:t>
      </w:r>
      <w:r>
        <w:rPr>
          <w:rFonts w:hint="eastAsia" w:ascii="仿宋" w:hAnsi="仿宋" w:eastAsia="仿宋" w:cs="仿宋"/>
          <w:sz w:val="28"/>
          <w:szCs w:val="28"/>
        </w:rPr>
        <w:t>投标人</w:t>
      </w:r>
      <w:r>
        <w:rPr>
          <w:rFonts w:hint="default" w:ascii="仿宋" w:hAnsi="仿宋" w:eastAsia="仿宋" w:cs="仿宋"/>
          <w:sz w:val="28"/>
          <w:szCs w:val="28"/>
          <w:lang w:val="en-US"/>
        </w:rPr>
        <w:t>发生</w:t>
      </w:r>
      <w:r>
        <w:rPr>
          <w:rFonts w:hint="eastAsia" w:ascii="仿宋" w:hAnsi="仿宋" w:eastAsia="仿宋" w:cs="仿宋"/>
          <w:sz w:val="28"/>
          <w:szCs w:val="28"/>
        </w:rPr>
        <w:t>的费用由投标人自行负担。</w:t>
      </w:r>
    </w:p>
    <w:p w14:paraId="58DB0498">
      <w:pPr>
        <w:pStyle w:val="9"/>
        <w:ind w:firstLine="321"/>
        <w:rPr>
          <w:rFonts w:ascii="仿宋_GB2312" w:eastAsia="仿宋_GB2312" w:hAnsiTheme="minorHAnsi"/>
          <w:sz w:val="28"/>
          <w:szCs w:val="28"/>
        </w:rPr>
      </w:pPr>
      <w:r>
        <w:rPr>
          <w:rFonts w:hint="eastAsia" w:ascii="仿宋_GB2312" w:eastAsia="仿宋_GB2312" w:hAnsiTheme="minorHAnsi"/>
          <w:sz w:val="28"/>
          <w:szCs w:val="28"/>
        </w:rPr>
        <w:t>十、初步评审</w:t>
      </w:r>
    </w:p>
    <w:tbl>
      <w:tblPr>
        <w:tblStyle w:val="11"/>
        <w:tblW w:w="7373" w:type="dxa"/>
        <w:tblInd w:w="396" w:type="dxa"/>
        <w:tblLayout w:type="autofit"/>
        <w:tblCellMar>
          <w:top w:w="0" w:type="dxa"/>
          <w:left w:w="108" w:type="dxa"/>
          <w:bottom w:w="0" w:type="dxa"/>
          <w:right w:w="108" w:type="dxa"/>
        </w:tblCellMar>
      </w:tblPr>
      <w:tblGrid>
        <w:gridCol w:w="1867"/>
        <w:gridCol w:w="1686"/>
        <w:gridCol w:w="3820"/>
      </w:tblGrid>
      <w:tr w14:paraId="121A2FA0">
        <w:tblPrEx>
          <w:tblCellMar>
            <w:top w:w="0" w:type="dxa"/>
            <w:left w:w="108" w:type="dxa"/>
            <w:bottom w:w="0" w:type="dxa"/>
            <w:right w:w="108" w:type="dxa"/>
          </w:tblCellMar>
        </w:tblPrEx>
        <w:trPr>
          <w:trHeight w:val="668" w:hRule="atLeast"/>
        </w:trPr>
        <w:tc>
          <w:tcPr>
            <w:tcW w:w="1867" w:type="dxa"/>
            <w:tcBorders>
              <w:top w:val="single" w:color="auto" w:sz="4" w:space="0"/>
              <w:left w:val="single" w:color="auto" w:sz="4" w:space="0"/>
              <w:bottom w:val="single" w:color="auto" w:sz="4" w:space="0"/>
              <w:right w:val="single" w:color="auto" w:sz="4" w:space="0"/>
            </w:tcBorders>
            <w:shd w:val="clear" w:color="auto" w:fill="auto"/>
            <w:vAlign w:val="center"/>
          </w:tcPr>
          <w:p w14:paraId="654C33A0">
            <w:pPr>
              <w:widowControl/>
              <w:jc w:val="center"/>
              <w:rPr>
                <w:rFonts w:ascii="等线" w:hAnsi="等线" w:eastAsia="等线" w:cs="宋体"/>
                <w:kern w:val="0"/>
                <w:szCs w:val="21"/>
              </w:rPr>
            </w:pPr>
            <w:r>
              <w:rPr>
                <w:rFonts w:hint="eastAsia" w:ascii="等线" w:hAnsi="等线" w:eastAsia="等线" w:cs="宋体"/>
                <w:kern w:val="0"/>
                <w:szCs w:val="21"/>
              </w:rPr>
              <w:t>评审项目</w:t>
            </w:r>
          </w:p>
        </w:tc>
        <w:tc>
          <w:tcPr>
            <w:tcW w:w="1686" w:type="dxa"/>
            <w:tcBorders>
              <w:top w:val="single" w:color="auto" w:sz="4" w:space="0"/>
              <w:left w:val="nil"/>
              <w:bottom w:val="single" w:color="auto" w:sz="4" w:space="0"/>
              <w:right w:val="single" w:color="auto" w:sz="4" w:space="0"/>
            </w:tcBorders>
            <w:shd w:val="clear" w:color="auto" w:fill="auto"/>
            <w:vAlign w:val="center"/>
          </w:tcPr>
          <w:p w14:paraId="37657D5B">
            <w:pPr>
              <w:widowControl/>
              <w:jc w:val="center"/>
              <w:rPr>
                <w:rFonts w:ascii="等线" w:hAnsi="等线" w:eastAsia="等线" w:cs="宋体"/>
                <w:kern w:val="0"/>
                <w:szCs w:val="21"/>
              </w:rPr>
            </w:pPr>
            <w:r>
              <w:rPr>
                <w:rFonts w:hint="eastAsia" w:ascii="等线" w:hAnsi="等线" w:eastAsia="等线" w:cs="宋体"/>
                <w:kern w:val="0"/>
                <w:szCs w:val="21"/>
              </w:rPr>
              <w:t>评审因素</w:t>
            </w:r>
          </w:p>
        </w:tc>
        <w:tc>
          <w:tcPr>
            <w:tcW w:w="3820" w:type="dxa"/>
            <w:tcBorders>
              <w:top w:val="single" w:color="auto" w:sz="4" w:space="0"/>
              <w:left w:val="nil"/>
              <w:bottom w:val="single" w:color="auto" w:sz="4" w:space="0"/>
              <w:right w:val="single" w:color="auto" w:sz="4" w:space="0"/>
            </w:tcBorders>
            <w:shd w:val="clear" w:color="auto" w:fill="auto"/>
            <w:vAlign w:val="center"/>
          </w:tcPr>
          <w:p w14:paraId="4B86EC0B">
            <w:pPr>
              <w:widowControl/>
              <w:jc w:val="center"/>
              <w:rPr>
                <w:rFonts w:ascii="等线" w:hAnsi="等线" w:eastAsia="等线" w:cs="宋体"/>
                <w:kern w:val="0"/>
                <w:szCs w:val="21"/>
              </w:rPr>
            </w:pPr>
            <w:r>
              <w:rPr>
                <w:rFonts w:hint="eastAsia" w:ascii="等线" w:hAnsi="等线" w:eastAsia="等线" w:cs="宋体"/>
                <w:kern w:val="0"/>
                <w:szCs w:val="21"/>
              </w:rPr>
              <w:t>评审标准</w:t>
            </w:r>
          </w:p>
        </w:tc>
      </w:tr>
      <w:tr w14:paraId="33292143">
        <w:tblPrEx>
          <w:tblCellMar>
            <w:top w:w="0" w:type="dxa"/>
            <w:left w:w="108" w:type="dxa"/>
            <w:bottom w:w="0" w:type="dxa"/>
            <w:right w:w="108" w:type="dxa"/>
          </w:tblCellMar>
        </w:tblPrEx>
        <w:trPr>
          <w:trHeight w:val="668" w:hRule="atLeast"/>
        </w:trPr>
        <w:tc>
          <w:tcPr>
            <w:tcW w:w="1867" w:type="dxa"/>
            <w:vMerge w:val="restart"/>
            <w:tcBorders>
              <w:top w:val="nil"/>
              <w:left w:val="single" w:color="auto" w:sz="4" w:space="0"/>
              <w:bottom w:val="single" w:color="auto" w:sz="4" w:space="0"/>
              <w:right w:val="single" w:color="auto" w:sz="4" w:space="0"/>
            </w:tcBorders>
            <w:shd w:val="clear" w:color="auto" w:fill="auto"/>
            <w:vAlign w:val="center"/>
          </w:tcPr>
          <w:p w14:paraId="11A1C77F">
            <w:pPr>
              <w:widowControl/>
              <w:jc w:val="center"/>
              <w:rPr>
                <w:rFonts w:ascii="等线" w:hAnsi="等线" w:eastAsia="等线" w:cs="宋体"/>
                <w:kern w:val="0"/>
                <w:szCs w:val="21"/>
              </w:rPr>
            </w:pPr>
            <w:r>
              <w:rPr>
                <w:rFonts w:hint="eastAsia" w:ascii="等线" w:hAnsi="等线" w:eastAsia="等线" w:cs="宋体"/>
                <w:kern w:val="0"/>
                <w:szCs w:val="21"/>
              </w:rPr>
              <w:t>形式评审标准</w:t>
            </w:r>
          </w:p>
        </w:tc>
        <w:tc>
          <w:tcPr>
            <w:tcW w:w="1686" w:type="dxa"/>
            <w:tcBorders>
              <w:top w:val="nil"/>
              <w:left w:val="nil"/>
              <w:bottom w:val="single" w:color="auto" w:sz="4" w:space="0"/>
              <w:right w:val="single" w:color="auto" w:sz="4" w:space="0"/>
            </w:tcBorders>
            <w:shd w:val="clear" w:color="auto" w:fill="auto"/>
            <w:vAlign w:val="center"/>
          </w:tcPr>
          <w:p w14:paraId="066F19B9">
            <w:pPr>
              <w:widowControl/>
              <w:jc w:val="center"/>
              <w:rPr>
                <w:rFonts w:ascii="等线" w:hAnsi="等线" w:eastAsia="等线" w:cs="宋体"/>
                <w:kern w:val="0"/>
                <w:szCs w:val="21"/>
              </w:rPr>
            </w:pPr>
            <w:r>
              <w:rPr>
                <w:rFonts w:hint="eastAsia" w:ascii="等线" w:hAnsi="等线" w:eastAsia="等线" w:cs="宋体"/>
                <w:kern w:val="0"/>
                <w:szCs w:val="21"/>
              </w:rPr>
              <w:t xml:space="preserve">投标人名称 </w:t>
            </w:r>
          </w:p>
        </w:tc>
        <w:tc>
          <w:tcPr>
            <w:tcW w:w="3820" w:type="dxa"/>
            <w:tcBorders>
              <w:top w:val="nil"/>
              <w:left w:val="nil"/>
              <w:bottom w:val="single" w:color="auto" w:sz="4" w:space="0"/>
              <w:right w:val="single" w:color="auto" w:sz="4" w:space="0"/>
            </w:tcBorders>
            <w:shd w:val="clear" w:color="auto" w:fill="auto"/>
            <w:vAlign w:val="center"/>
          </w:tcPr>
          <w:p w14:paraId="6F3A85BA">
            <w:pPr>
              <w:widowControl/>
              <w:jc w:val="center"/>
              <w:rPr>
                <w:rFonts w:ascii="等线" w:hAnsi="等线" w:eastAsia="等线" w:cs="宋体"/>
                <w:kern w:val="0"/>
                <w:szCs w:val="21"/>
              </w:rPr>
            </w:pPr>
            <w:r>
              <w:rPr>
                <w:rFonts w:hint="eastAsia" w:ascii="等线" w:hAnsi="等线" w:eastAsia="等线" w:cs="宋体"/>
                <w:kern w:val="0"/>
                <w:szCs w:val="21"/>
              </w:rPr>
              <w:t>与营业执照一致</w:t>
            </w:r>
          </w:p>
        </w:tc>
      </w:tr>
      <w:tr w14:paraId="2746A4F8">
        <w:tblPrEx>
          <w:tblCellMar>
            <w:top w:w="0" w:type="dxa"/>
            <w:left w:w="108" w:type="dxa"/>
            <w:bottom w:w="0" w:type="dxa"/>
            <w:right w:w="108" w:type="dxa"/>
          </w:tblCellMar>
        </w:tblPrEx>
        <w:trPr>
          <w:trHeight w:val="668" w:hRule="atLeast"/>
        </w:trPr>
        <w:tc>
          <w:tcPr>
            <w:tcW w:w="1867" w:type="dxa"/>
            <w:vMerge w:val="continue"/>
            <w:tcBorders>
              <w:top w:val="nil"/>
              <w:left w:val="single" w:color="auto" w:sz="4" w:space="0"/>
              <w:bottom w:val="single" w:color="auto" w:sz="4" w:space="0"/>
              <w:right w:val="single" w:color="auto" w:sz="4" w:space="0"/>
            </w:tcBorders>
            <w:vAlign w:val="center"/>
          </w:tcPr>
          <w:p w14:paraId="4BEDE85F">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00F866F9">
            <w:pPr>
              <w:widowControl/>
              <w:jc w:val="center"/>
              <w:rPr>
                <w:rFonts w:ascii="等线" w:hAnsi="等线" w:eastAsia="等线" w:cs="宋体"/>
                <w:kern w:val="0"/>
                <w:szCs w:val="21"/>
              </w:rPr>
            </w:pPr>
            <w:r>
              <w:rPr>
                <w:rFonts w:hint="eastAsia" w:ascii="等线" w:hAnsi="等线" w:eastAsia="等线" w:cs="宋体"/>
                <w:kern w:val="0"/>
                <w:szCs w:val="21"/>
              </w:rPr>
              <w:t>签字盖章</w:t>
            </w:r>
          </w:p>
        </w:tc>
        <w:tc>
          <w:tcPr>
            <w:tcW w:w="3820" w:type="dxa"/>
            <w:tcBorders>
              <w:top w:val="nil"/>
              <w:left w:val="nil"/>
              <w:bottom w:val="single" w:color="auto" w:sz="4" w:space="0"/>
              <w:right w:val="single" w:color="auto" w:sz="4" w:space="0"/>
            </w:tcBorders>
            <w:shd w:val="clear" w:color="auto" w:fill="auto"/>
            <w:vAlign w:val="center"/>
          </w:tcPr>
          <w:p w14:paraId="5493057E">
            <w:pPr>
              <w:widowControl/>
              <w:jc w:val="center"/>
              <w:rPr>
                <w:rFonts w:hint="eastAsia" w:ascii="等线" w:hAnsi="等线" w:eastAsia="等线" w:cs="宋体"/>
                <w:kern w:val="0"/>
                <w:szCs w:val="21"/>
                <w:lang w:val="en-US" w:eastAsia="zh-CN"/>
              </w:rPr>
            </w:pPr>
            <w:r>
              <w:rPr>
                <w:rFonts w:hint="eastAsia" w:ascii="等线" w:hAnsi="等线" w:eastAsia="等线" w:cs="宋体"/>
                <w:kern w:val="0"/>
                <w:szCs w:val="21"/>
              </w:rPr>
              <w:t>签字盖章</w:t>
            </w:r>
            <w:r>
              <w:rPr>
                <w:rFonts w:hint="eastAsia" w:ascii="等线" w:hAnsi="等线" w:eastAsia="等线" w:cs="宋体"/>
                <w:kern w:val="0"/>
                <w:szCs w:val="21"/>
                <w:lang w:val="en-US" w:eastAsia="zh-CN"/>
              </w:rPr>
              <w:t>齐全</w:t>
            </w:r>
          </w:p>
        </w:tc>
      </w:tr>
      <w:tr w14:paraId="106D9FD3">
        <w:tblPrEx>
          <w:tblCellMar>
            <w:top w:w="0" w:type="dxa"/>
            <w:left w:w="108" w:type="dxa"/>
            <w:bottom w:w="0" w:type="dxa"/>
            <w:right w:w="108" w:type="dxa"/>
          </w:tblCellMar>
        </w:tblPrEx>
        <w:trPr>
          <w:trHeight w:val="668" w:hRule="atLeast"/>
        </w:trPr>
        <w:tc>
          <w:tcPr>
            <w:tcW w:w="1867" w:type="dxa"/>
            <w:vMerge w:val="restart"/>
            <w:tcBorders>
              <w:top w:val="nil"/>
              <w:left w:val="single" w:color="auto" w:sz="4" w:space="0"/>
              <w:bottom w:val="single" w:color="auto" w:sz="4" w:space="0"/>
              <w:right w:val="single" w:color="auto" w:sz="4" w:space="0"/>
            </w:tcBorders>
            <w:shd w:val="clear" w:color="auto" w:fill="auto"/>
            <w:vAlign w:val="center"/>
          </w:tcPr>
          <w:p w14:paraId="5C337624">
            <w:pPr>
              <w:widowControl/>
              <w:jc w:val="center"/>
              <w:rPr>
                <w:rFonts w:ascii="等线" w:hAnsi="等线" w:eastAsia="等线" w:cs="宋体"/>
                <w:kern w:val="0"/>
                <w:szCs w:val="21"/>
              </w:rPr>
            </w:pPr>
            <w:r>
              <w:rPr>
                <w:rFonts w:hint="eastAsia" w:ascii="等线" w:hAnsi="等线" w:eastAsia="等线" w:cs="宋体"/>
                <w:kern w:val="0"/>
                <w:szCs w:val="21"/>
              </w:rPr>
              <w:t>资格评审标准</w:t>
            </w:r>
          </w:p>
        </w:tc>
        <w:tc>
          <w:tcPr>
            <w:tcW w:w="1686" w:type="dxa"/>
            <w:tcBorders>
              <w:top w:val="nil"/>
              <w:left w:val="nil"/>
              <w:bottom w:val="single" w:color="auto" w:sz="4" w:space="0"/>
              <w:right w:val="single" w:color="auto" w:sz="4" w:space="0"/>
            </w:tcBorders>
            <w:shd w:val="clear" w:color="auto" w:fill="auto"/>
            <w:vAlign w:val="center"/>
          </w:tcPr>
          <w:p w14:paraId="3D4817D3">
            <w:pPr>
              <w:widowControl/>
              <w:jc w:val="center"/>
              <w:rPr>
                <w:rFonts w:ascii="等线" w:hAnsi="等线" w:eastAsia="等线" w:cs="宋体"/>
                <w:kern w:val="0"/>
                <w:szCs w:val="21"/>
              </w:rPr>
            </w:pPr>
            <w:r>
              <w:rPr>
                <w:rFonts w:hint="eastAsia" w:ascii="等线" w:hAnsi="等线" w:eastAsia="等线" w:cs="宋体"/>
                <w:kern w:val="0"/>
                <w:szCs w:val="21"/>
              </w:rPr>
              <w:t>企业要求</w:t>
            </w:r>
          </w:p>
        </w:tc>
        <w:tc>
          <w:tcPr>
            <w:tcW w:w="3820" w:type="dxa"/>
            <w:tcBorders>
              <w:top w:val="nil"/>
              <w:left w:val="nil"/>
              <w:bottom w:val="single" w:color="auto" w:sz="4" w:space="0"/>
              <w:right w:val="single" w:color="auto" w:sz="4" w:space="0"/>
            </w:tcBorders>
            <w:shd w:val="clear" w:color="auto" w:fill="auto"/>
            <w:vAlign w:val="center"/>
          </w:tcPr>
          <w:p w14:paraId="11C6BDD7">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符合招标文件投标人资格要求项中第（一）、（二）条款</w:t>
            </w:r>
          </w:p>
        </w:tc>
      </w:tr>
      <w:tr w14:paraId="57F0C0B1">
        <w:tblPrEx>
          <w:tblCellMar>
            <w:top w:w="0" w:type="dxa"/>
            <w:left w:w="108" w:type="dxa"/>
            <w:bottom w:w="0" w:type="dxa"/>
            <w:right w:w="108" w:type="dxa"/>
          </w:tblCellMar>
        </w:tblPrEx>
        <w:trPr>
          <w:trHeight w:val="668" w:hRule="atLeast"/>
        </w:trPr>
        <w:tc>
          <w:tcPr>
            <w:tcW w:w="1867" w:type="dxa"/>
            <w:vMerge w:val="continue"/>
            <w:tcBorders>
              <w:top w:val="nil"/>
              <w:left w:val="single" w:color="auto" w:sz="4" w:space="0"/>
              <w:bottom w:val="single" w:color="auto" w:sz="4" w:space="0"/>
              <w:right w:val="single" w:color="auto" w:sz="4" w:space="0"/>
            </w:tcBorders>
            <w:vAlign w:val="center"/>
          </w:tcPr>
          <w:p w14:paraId="58991667">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03FD4277">
            <w:pPr>
              <w:widowControl/>
              <w:jc w:val="center"/>
              <w:rPr>
                <w:rFonts w:ascii="等线" w:hAnsi="等线" w:eastAsia="等线" w:cs="宋体"/>
                <w:kern w:val="0"/>
                <w:szCs w:val="21"/>
              </w:rPr>
            </w:pPr>
            <w:r>
              <w:rPr>
                <w:rFonts w:hint="eastAsia" w:ascii="等线" w:hAnsi="等线" w:eastAsia="等线" w:cs="宋体"/>
                <w:kern w:val="0"/>
                <w:szCs w:val="21"/>
              </w:rPr>
              <w:t>财务要求</w:t>
            </w:r>
          </w:p>
        </w:tc>
        <w:tc>
          <w:tcPr>
            <w:tcW w:w="3820" w:type="dxa"/>
            <w:tcBorders>
              <w:top w:val="nil"/>
              <w:left w:val="nil"/>
              <w:bottom w:val="single" w:color="auto" w:sz="4" w:space="0"/>
              <w:right w:val="single" w:color="auto" w:sz="4" w:space="0"/>
            </w:tcBorders>
            <w:shd w:val="clear" w:color="auto" w:fill="auto"/>
            <w:vAlign w:val="center"/>
          </w:tcPr>
          <w:p w14:paraId="25EB88ED">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符合招标文件投标人资格要求项中第（三）、（四）条款</w:t>
            </w:r>
          </w:p>
        </w:tc>
      </w:tr>
      <w:tr w14:paraId="318E93CF">
        <w:tblPrEx>
          <w:tblCellMar>
            <w:top w:w="0" w:type="dxa"/>
            <w:left w:w="108" w:type="dxa"/>
            <w:bottom w:w="0" w:type="dxa"/>
            <w:right w:w="108" w:type="dxa"/>
          </w:tblCellMar>
        </w:tblPrEx>
        <w:trPr>
          <w:trHeight w:val="668" w:hRule="atLeast"/>
        </w:trPr>
        <w:tc>
          <w:tcPr>
            <w:tcW w:w="1867" w:type="dxa"/>
            <w:vMerge w:val="continue"/>
            <w:tcBorders>
              <w:top w:val="nil"/>
              <w:left w:val="single" w:color="auto" w:sz="4" w:space="0"/>
              <w:bottom w:val="single" w:color="auto" w:sz="4" w:space="0"/>
              <w:right w:val="single" w:color="auto" w:sz="4" w:space="0"/>
            </w:tcBorders>
            <w:vAlign w:val="center"/>
          </w:tcPr>
          <w:p w14:paraId="4A1D22E9">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5AD131F7">
            <w:pPr>
              <w:widowControl/>
              <w:jc w:val="center"/>
              <w:rPr>
                <w:rFonts w:ascii="等线" w:hAnsi="等线" w:eastAsia="等线" w:cs="宋体"/>
                <w:kern w:val="0"/>
                <w:szCs w:val="21"/>
              </w:rPr>
            </w:pPr>
            <w:r>
              <w:rPr>
                <w:rFonts w:hint="eastAsia" w:ascii="等线" w:hAnsi="等线" w:eastAsia="等线" w:cs="宋体"/>
                <w:kern w:val="0"/>
                <w:szCs w:val="21"/>
              </w:rPr>
              <w:t>信誉要求</w:t>
            </w:r>
          </w:p>
        </w:tc>
        <w:tc>
          <w:tcPr>
            <w:tcW w:w="3820" w:type="dxa"/>
            <w:tcBorders>
              <w:top w:val="nil"/>
              <w:left w:val="nil"/>
              <w:bottom w:val="single" w:color="auto" w:sz="4" w:space="0"/>
              <w:right w:val="single" w:color="auto" w:sz="4" w:space="0"/>
            </w:tcBorders>
            <w:shd w:val="clear" w:color="auto" w:fill="auto"/>
            <w:vAlign w:val="center"/>
          </w:tcPr>
          <w:p w14:paraId="2676AB19">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符合招标文件投标人资格要求项中第（五）、（六）条款</w:t>
            </w:r>
          </w:p>
        </w:tc>
      </w:tr>
      <w:tr w14:paraId="1A82EA84">
        <w:tblPrEx>
          <w:tblCellMar>
            <w:top w:w="0" w:type="dxa"/>
            <w:left w:w="108" w:type="dxa"/>
            <w:bottom w:w="0" w:type="dxa"/>
            <w:right w:w="108" w:type="dxa"/>
          </w:tblCellMar>
        </w:tblPrEx>
        <w:trPr>
          <w:trHeight w:val="733" w:hRule="atLeast"/>
        </w:trPr>
        <w:tc>
          <w:tcPr>
            <w:tcW w:w="1867" w:type="dxa"/>
            <w:vMerge w:val="continue"/>
            <w:tcBorders>
              <w:top w:val="nil"/>
              <w:left w:val="single" w:color="auto" w:sz="4" w:space="0"/>
              <w:bottom w:val="single" w:color="auto" w:sz="4" w:space="0"/>
              <w:right w:val="single" w:color="auto" w:sz="4" w:space="0"/>
            </w:tcBorders>
            <w:vAlign w:val="center"/>
          </w:tcPr>
          <w:p w14:paraId="45C928BE">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512CD1DF">
            <w:pPr>
              <w:widowControl/>
              <w:jc w:val="center"/>
              <w:rPr>
                <w:rFonts w:ascii="等线" w:hAnsi="等线" w:eastAsia="等线" w:cs="宋体"/>
                <w:kern w:val="0"/>
                <w:szCs w:val="21"/>
              </w:rPr>
            </w:pPr>
            <w:r>
              <w:rPr>
                <w:rFonts w:hint="eastAsia" w:ascii="等线" w:hAnsi="等线" w:eastAsia="等线" w:cs="宋体"/>
                <w:kern w:val="0"/>
                <w:szCs w:val="21"/>
              </w:rPr>
              <w:t>其他要求</w:t>
            </w:r>
          </w:p>
        </w:tc>
        <w:tc>
          <w:tcPr>
            <w:tcW w:w="3820" w:type="dxa"/>
            <w:tcBorders>
              <w:top w:val="nil"/>
              <w:left w:val="nil"/>
              <w:bottom w:val="single" w:color="auto" w:sz="4" w:space="0"/>
              <w:right w:val="single" w:color="auto" w:sz="4" w:space="0"/>
            </w:tcBorders>
            <w:shd w:val="clear" w:color="auto" w:fill="auto"/>
            <w:vAlign w:val="center"/>
          </w:tcPr>
          <w:p w14:paraId="3F7C317A">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符合招标文件投标人资格要求项中第（七）条款</w:t>
            </w:r>
          </w:p>
        </w:tc>
      </w:tr>
    </w:tbl>
    <w:p w14:paraId="2B6B9196"/>
    <w:p w14:paraId="58BCF3D8">
      <w:pPr>
        <w:ind w:firstLine="562" w:firstLineChars="200"/>
        <w:rPr>
          <w:rFonts w:ascii="仿宋" w:hAnsi="仿宋" w:eastAsia="仿宋" w:cs="仿宋"/>
          <w:b/>
          <w:sz w:val="28"/>
          <w:szCs w:val="28"/>
        </w:rPr>
      </w:pPr>
      <w:r>
        <w:rPr>
          <w:rFonts w:hint="eastAsia" w:ascii="仿宋" w:hAnsi="仿宋" w:eastAsia="仿宋" w:cs="仿宋"/>
          <w:b/>
          <w:sz w:val="28"/>
          <w:szCs w:val="28"/>
        </w:rPr>
        <w:t>十一、评分要素及具体评分标准</w:t>
      </w:r>
    </w:p>
    <w:p w14:paraId="63E382D4">
      <w:pPr>
        <w:ind w:firstLine="560" w:firstLineChars="200"/>
        <w:rPr>
          <w:rFonts w:ascii="仿宋" w:hAnsi="仿宋" w:eastAsia="仿宋"/>
          <w:sz w:val="28"/>
          <w:szCs w:val="28"/>
        </w:rPr>
      </w:pPr>
      <w:r>
        <w:rPr>
          <w:rFonts w:hint="eastAsia" w:ascii="仿宋" w:hAnsi="仿宋" w:eastAsia="仿宋" w:cs="仿宋"/>
          <w:sz w:val="28"/>
          <w:szCs w:val="28"/>
        </w:rPr>
        <w:t>本次评审采用综合评分法。评审小组对满足采购文件实质性要求的响应文件，按照下表评分标准进行打分，并按得分由高到低顺序推荐成交候选人。综合评分相等时，以质量管理得分高的优先；</w:t>
      </w:r>
      <w:r>
        <w:rPr>
          <w:rFonts w:hint="eastAsia" w:ascii="仿宋" w:hAnsi="仿宋" w:eastAsia="仿宋" w:cs="仿宋"/>
          <w:sz w:val="28"/>
          <w:szCs w:val="28"/>
          <w:lang w:eastAsia="zh-CN"/>
        </w:rPr>
        <w:t>在评审</w:t>
      </w:r>
      <w:r>
        <w:rPr>
          <w:rFonts w:hint="eastAsia" w:ascii="仿宋" w:hAnsi="仿宋" w:eastAsia="仿宋" w:cs="仿宋"/>
          <w:sz w:val="28"/>
          <w:szCs w:val="28"/>
        </w:rPr>
        <w:t>得分且质量管理得分相同的</w:t>
      </w:r>
      <w:r>
        <w:rPr>
          <w:rFonts w:hint="eastAsia" w:ascii="仿宋" w:hAnsi="仿宋" w:eastAsia="仿宋" w:cs="仿宋"/>
          <w:sz w:val="28"/>
          <w:szCs w:val="28"/>
          <w:lang w:eastAsia="zh-CN"/>
        </w:rPr>
        <w:t>情况下，按</w:t>
      </w:r>
      <w:r>
        <w:rPr>
          <w:rFonts w:hint="eastAsia" w:ascii="仿宋" w:hAnsi="仿宋" w:eastAsia="仿宋" w:cs="仿宋"/>
          <w:sz w:val="28"/>
          <w:szCs w:val="28"/>
        </w:rPr>
        <w:t>技术评分标准高的优先。</w:t>
      </w:r>
    </w:p>
    <w:tbl>
      <w:tblPr>
        <w:tblStyle w:val="11"/>
        <w:tblW w:w="101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0"/>
        <w:gridCol w:w="1599"/>
        <w:gridCol w:w="6742"/>
      </w:tblGrid>
      <w:tr w14:paraId="59900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tblHeader/>
          <w:jc w:val="center"/>
        </w:trPr>
        <w:tc>
          <w:tcPr>
            <w:tcW w:w="1850" w:type="dxa"/>
            <w:vAlign w:val="center"/>
          </w:tcPr>
          <w:p w14:paraId="662F919C">
            <w:pPr>
              <w:pStyle w:val="15"/>
              <w:ind w:left="105" w:right="105"/>
              <w:rPr>
                <w:lang w:val="en-US"/>
              </w:rPr>
            </w:pPr>
            <w:r>
              <w:rPr>
                <w:rFonts w:hint="eastAsia"/>
                <w:lang w:val="en-US"/>
              </w:rPr>
              <w:t>评分因素</w:t>
            </w:r>
          </w:p>
        </w:tc>
        <w:tc>
          <w:tcPr>
            <w:tcW w:w="1599" w:type="dxa"/>
            <w:vAlign w:val="center"/>
          </w:tcPr>
          <w:p w14:paraId="49F1FD9D">
            <w:pPr>
              <w:pStyle w:val="15"/>
              <w:ind w:left="105" w:right="105"/>
            </w:pPr>
            <w:r>
              <w:rPr>
                <w:rFonts w:hint="eastAsia"/>
                <w:lang w:val="en-US"/>
              </w:rPr>
              <w:t>评分内容</w:t>
            </w:r>
          </w:p>
        </w:tc>
        <w:tc>
          <w:tcPr>
            <w:tcW w:w="6742" w:type="dxa"/>
            <w:vAlign w:val="center"/>
          </w:tcPr>
          <w:p w14:paraId="639B581C">
            <w:pPr>
              <w:pStyle w:val="15"/>
              <w:ind w:left="105" w:right="105"/>
            </w:pPr>
            <w:r>
              <w:rPr>
                <w:rFonts w:hint="eastAsia"/>
                <w:lang w:val="en-US"/>
              </w:rPr>
              <w:t>评分标准</w:t>
            </w:r>
          </w:p>
        </w:tc>
      </w:tr>
      <w:tr w14:paraId="1D310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jc w:val="center"/>
        </w:trPr>
        <w:tc>
          <w:tcPr>
            <w:tcW w:w="3449" w:type="dxa"/>
            <w:gridSpan w:val="2"/>
            <w:vAlign w:val="center"/>
          </w:tcPr>
          <w:p w14:paraId="06AE84FB">
            <w:pPr>
              <w:pStyle w:val="18"/>
              <w:ind w:left="105" w:right="105"/>
              <w:rPr>
                <w:color w:val="auto"/>
              </w:rPr>
            </w:pPr>
          </w:p>
          <w:p w14:paraId="70303380">
            <w:pPr>
              <w:pStyle w:val="18"/>
              <w:ind w:left="105" w:right="105"/>
              <w:rPr>
                <w:color w:val="auto"/>
              </w:rPr>
            </w:pPr>
            <w:r>
              <w:rPr>
                <w:color w:val="auto"/>
              </w:rPr>
              <w:t>分值构成</w:t>
            </w:r>
          </w:p>
          <w:p w14:paraId="043496B0">
            <w:pPr>
              <w:pStyle w:val="18"/>
              <w:ind w:left="105" w:right="105"/>
              <w:rPr>
                <w:color w:val="auto"/>
              </w:rPr>
            </w:pPr>
            <w:r>
              <w:rPr>
                <w:rFonts w:hint="eastAsia"/>
                <w:color w:val="auto"/>
              </w:rPr>
              <w:t>（</w:t>
            </w:r>
            <w:r>
              <w:rPr>
                <w:color w:val="auto"/>
              </w:rPr>
              <w:t>总分100分</w:t>
            </w:r>
            <w:r>
              <w:rPr>
                <w:rFonts w:hint="eastAsia"/>
                <w:color w:val="auto"/>
              </w:rPr>
              <w:t>）</w:t>
            </w:r>
          </w:p>
        </w:tc>
        <w:tc>
          <w:tcPr>
            <w:tcW w:w="6742" w:type="dxa"/>
            <w:vAlign w:val="center"/>
          </w:tcPr>
          <w:p w14:paraId="708581AD">
            <w:pPr>
              <w:pStyle w:val="16"/>
              <w:ind w:left="105" w:right="105"/>
              <w:rPr>
                <w:color w:val="auto"/>
              </w:rPr>
            </w:pPr>
            <w:r>
              <w:rPr>
                <w:color w:val="auto"/>
              </w:rPr>
              <w:t>商务部分：</w:t>
            </w:r>
            <w:r>
              <w:rPr>
                <w:rFonts w:hint="eastAsia"/>
                <w:color w:val="auto"/>
              </w:rPr>
              <w:t>20</w:t>
            </w:r>
            <w:r>
              <w:rPr>
                <w:color w:val="auto"/>
              </w:rPr>
              <w:t>分</w:t>
            </w:r>
          </w:p>
          <w:p w14:paraId="4CCCBC56">
            <w:pPr>
              <w:pStyle w:val="16"/>
              <w:ind w:left="105" w:right="105"/>
              <w:rPr>
                <w:color w:val="auto"/>
              </w:rPr>
            </w:pPr>
            <w:r>
              <w:rPr>
                <w:rFonts w:hint="eastAsia"/>
                <w:color w:val="auto"/>
              </w:rPr>
              <w:t>质量管理：40分</w:t>
            </w:r>
          </w:p>
          <w:p w14:paraId="65621E0F">
            <w:pPr>
              <w:pStyle w:val="16"/>
              <w:ind w:left="105" w:right="105"/>
              <w:rPr>
                <w:color w:val="auto"/>
              </w:rPr>
            </w:pPr>
            <w:r>
              <w:rPr>
                <w:color w:val="auto"/>
              </w:rPr>
              <w:t>技术部分：</w:t>
            </w:r>
            <w:r>
              <w:rPr>
                <w:rFonts w:hint="eastAsia"/>
                <w:color w:val="auto"/>
              </w:rPr>
              <w:t>25</w:t>
            </w:r>
            <w:r>
              <w:rPr>
                <w:color w:val="auto"/>
              </w:rPr>
              <w:t>分</w:t>
            </w:r>
          </w:p>
          <w:p w14:paraId="00281818">
            <w:pPr>
              <w:pStyle w:val="16"/>
              <w:ind w:left="105" w:right="105"/>
              <w:rPr>
                <w:color w:val="auto"/>
                <w:highlight w:val="yellow"/>
              </w:rPr>
            </w:pPr>
            <w:r>
              <w:rPr>
                <w:rFonts w:hint="eastAsia"/>
                <w:color w:val="auto"/>
              </w:rPr>
              <w:t>报价部分：15分</w:t>
            </w:r>
          </w:p>
        </w:tc>
      </w:tr>
      <w:tr w14:paraId="49DFB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2" w:hRule="atLeast"/>
          <w:jc w:val="center"/>
        </w:trPr>
        <w:tc>
          <w:tcPr>
            <w:tcW w:w="1850" w:type="dxa"/>
            <w:vMerge w:val="restart"/>
            <w:vAlign w:val="center"/>
          </w:tcPr>
          <w:p w14:paraId="7BF689C8">
            <w:pPr>
              <w:pStyle w:val="16"/>
              <w:spacing w:line="400" w:lineRule="exact"/>
              <w:ind w:left="105" w:right="105" w:firstLine="210" w:firstLineChars="100"/>
              <w:rPr>
                <w:bCs/>
                <w:color w:val="auto"/>
              </w:rPr>
            </w:pPr>
          </w:p>
          <w:p w14:paraId="3C10C98C">
            <w:pPr>
              <w:pStyle w:val="16"/>
              <w:spacing w:line="400" w:lineRule="exact"/>
              <w:ind w:left="105" w:right="105"/>
              <w:jc w:val="center"/>
              <w:rPr>
                <w:bCs/>
                <w:color w:val="auto"/>
              </w:rPr>
            </w:pPr>
            <w:r>
              <w:rPr>
                <w:rFonts w:hint="eastAsia"/>
                <w:bCs/>
                <w:color w:val="auto"/>
              </w:rPr>
              <w:t>商务评分标准</w:t>
            </w:r>
          </w:p>
          <w:p w14:paraId="6B10DE7E">
            <w:pPr>
              <w:pStyle w:val="16"/>
              <w:spacing w:line="400" w:lineRule="exact"/>
              <w:ind w:left="105" w:right="105"/>
              <w:jc w:val="center"/>
              <w:rPr>
                <w:bCs/>
                <w:color w:val="auto"/>
              </w:rPr>
            </w:pPr>
            <w:r>
              <w:rPr>
                <w:rFonts w:hint="eastAsia"/>
                <w:bCs/>
                <w:color w:val="auto"/>
              </w:rPr>
              <w:t>（20分）</w:t>
            </w:r>
          </w:p>
        </w:tc>
        <w:tc>
          <w:tcPr>
            <w:tcW w:w="1599" w:type="dxa"/>
            <w:tcBorders>
              <w:right w:val="single" w:color="auto" w:sz="4" w:space="0"/>
            </w:tcBorders>
            <w:vAlign w:val="center"/>
          </w:tcPr>
          <w:p w14:paraId="0134716D">
            <w:pPr>
              <w:pStyle w:val="18"/>
              <w:ind w:left="105" w:right="105"/>
              <w:rPr>
                <w:color w:val="auto"/>
              </w:rPr>
            </w:pPr>
            <w:r>
              <w:rPr>
                <w:rFonts w:hint="eastAsia"/>
                <w:color w:val="auto"/>
              </w:rPr>
              <w:t>总体实力</w:t>
            </w:r>
          </w:p>
          <w:p w14:paraId="53F01A91">
            <w:pPr>
              <w:pStyle w:val="18"/>
              <w:ind w:left="105" w:right="105"/>
              <w:rPr>
                <w:color w:val="auto"/>
              </w:rPr>
            </w:pPr>
            <w:r>
              <w:rPr>
                <w:rFonts w:hint="eastAsia"/>
                <w:color w:val="auto"/>
              </w:rPr>
              <w:t>（10分）</w:t>
            </w:r>
          </w:p>
        </w:tc>
        <w:tc>
          <w:tcPr>
            <w:tcW w:w="6742" w:type="dxa"/>
            <w:tcBorders>
              <w:left w:val="single" w:color="auto" w:sz="4" w:space="0"/>
            </w:tcBorders>
            <w:vAlign w:val="center"/>
          </w:tcPr>
          <w:p w14:paraId="3D3820D1">
            <w:pPr>
              <w:widowControl/>
              <w:ind w:firstLine="420" w:firstLineChars="200"/>
              <w:jc w:val="left"/>
              <w:rPr>
                <w:rFonts w:ascii="等线" w:hAnsi="等线" w:eastAsia="等线" w:cs="宋体"/>
                <w:kern w:val="0"/>
                <w:szCs w:val="21"/>
              </w:rPr>
            </w:pPr>
            <w:r>
              <w:rPr>
                <w:rFonts w:hint="eastAsia" w:ascii="等线" w:hAnsi="等线" w:eastAsia="等线" w:cs="宋体"/>
                <w:kern w:val="0"/>
                <w:szCs w:val="21"/>
                <w:lang w:eastAsia="zh-CN"/>
              </w:rPr>
              <w:t>1.</w:t>
            </w:r>
            <w:r>
              <w:rPr>
                <w:rFonts w:hint="eastAsia" w:ascii="等线" w:hAnsi="等线" w:eastAsia="等线" w:cs="宋体"/>
                <w:kern w:val="0"/>
                <w:szCs w:val="21"/>
              </w:rPr>
              <w:t>综合排名（2分）：根据中国注册会计师协会网站发布的最新“会计师事务所综合评价百家排名信息”评定，1-5名得2分，6-10名得1分</w:t>
            </w:r>
          </w:p>
          <w:p w14:paraId="2D4FC5B2">
            <w:pPr>
              <w:widowControl/>
              <w:ind w:firstLine="420" w:firstLineChars="200"/>
              <w:rPr>
                <w:rFonts w:ascii="等线" w:hAnsi="等线" w:eastAsia="等线" w:cs="宋体"/>
                <w:kern w:val="0"/>
                <w:szCs w:val="21"/>
              </w:rPr>
            </w:pPr>
            <w:r>
              <w:rPr>
                <w:rFonts w:hint="eastAsia" w:ascii="等线" w:hAnsi="等线" w:eastAsia="等线" w:cs="宋体"/>
                <w:kern w:val="0"/>
                <w:szCs w:val="21"/>
                <w:lang w:eastAsia="zh-CN"/>
              </w:rPr>
              <w:t>2.</w:t>
            </w:r>
            <w:r>
              <w:rPr>
                <w:rFonts w:hint="eastAsia" w:ascii="等线" w:hAnsi="等线" w:eastAsia="等线" w:cs="宋体"/>
                <w:kern w:val="0"/>
                <w:szCs w:val="21"/>
              </w:rPr>
              <w:t>业绩（8分）：具有上市公司、大型企业集团年报审计、重大资产重组、定向增发等经验，按近三年来审计业务数量，主板上市公司一项得2分，其他一项得1分，最高8分。</w:t>
            </w:r>
          </w:p>
          <w:p w14:paraId="68601A59">
            <w:pPr>
              <w:widowControl/>
              <w:ind w:firstLine="420" w:firstLineChars="200"/>
              <w:jc w:val="left"/>
            </w:pPr>
            <w:r>
              <w:rPr>
                <w:rFonts w:hint="eastAsia" w:ascii="等线" w:hAnsi="等线" w:eastAsia="等线" w:cs="宋体"/>
                <w:kern w:val="0"/>
                <w:szCs w:val="21"/>
              </w:rPr>
              <w:t>注：提供审计报告及相关证明材料</w:t>
            </w:r>
          </w:p>
        </w:tc>
      </w:tr>
      <w:tr w14:paraId="61E9C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6" w:hRule="atLeast"/>
          <w:jc w:val="center"/>
        </w:trPr>
        <w:tc>
          <w:tcPr>
            <w:tcW w:w="1850" w:type="dxa"/>
            <w:vMerge w:val="continue"/>
            <w:vAlign w:val="center"/>
          </w:tcPr>
          <w:p w14:paraId="2753F602">
            <w:pPr>
              <w:pStyle w:val="16"/>
              <w:spacing w:line="400" w:lineRule="exact"/>
              <w:ind w:left="105" w:right="105"/>
              <w:jc w:val="center"/>
              <w:rPr>
                <w:bCs/>
                <w:color w:val="auto"/>
              </w:rPr>
            </w:pPr>
          </w:p>
        </w:tc>
        <w:tc>
          <w:tcPr>
            <w:tcW w:w="1599" w:type="dxa"/>
            <w:tcBorders>
              <w:right w:val="single" w:color="auto" w:sz="4" w:space="0"/>
            </w:tcBorders>
            <w:vAlign w:val="center"/>
          </w:tcPr>
          <w:p w14:paraId="5B1160D3">
            <w:pPr>
              <w:pStyle w:val="18"/>
              <w:ind w:left="105" w:right="105"/>
              <w:rPr>
                <w:color w:val="auto"/>
              </w:rPr>
            </w:pPr>
            <w:r>
              <w:rPr>
                <w:color w:val="auto"/>
              </w:rPr>
              <w:t>项目团队</w:t>
            </w:r>
          </w:p>
          <w:p w14:paraId="44BC5E09">
            <w:pPr>
              <w:pStyle w:val="18"/>
              <w:ind w:left="105" w:right="105"/>
              <w:rPr>
                <w:color w:val="auto"/>
              </w:rPr>
            </w:pPr>
            <w:r>
              <w:rPr>
                <w:rFonts w:hint="eastAsia"/>
                <w:color w:val="auto"/>
              </w:rPr>
              <w:t>（10分）</w:t>
            </w:r>
          </w:p>
        </w:tc>
        <w:tc>
          <w:tcPr>
            <w:tcW w:w="6742" w:type="dxa"/>
            <w:tcBorders>
              <w:left w:val="single" w:color="auto" w:sz="4" w:space="0"/>
            </w:tcBorders>
            <w:vAlign w:val="center"/>
          </w:tcPr>
          <w:p w14:paraId="097061E1">
            <w:pPr>
              <w:widowControl/>
              <w:ind w:firstLine="420" w:firstLineChars="200"/>
              <w:rPr>
                <w:rFonts w:ascii="等线" w:hAnsi="等线" w:eastAsia="等线" w:cs="宋体"/>
                <w:kern w:val="0"/>
                <w:szCs w:val="21"/>
              </w:rPr>
            </w:pPr>
            <w:r>
              <w:rPr>
                <w:rFonts w:hint="eastAsia" w:ascii="等线" w:hAnsi="等线" w:eastAsia="等线" w:cs="宋体"/>
                <w:kern w:val="0"/>
                <w:szCs w:val="21"/>
                <w:lang w:eastAsia="zh-CN"/>
              </w:rPr>
              <w:t>1.</w:t>
            </w:r>
            <w:r>
              <w:rPr>
                <w:rFonts w:hint="eastAsia" w:ascii="等线" w:hAnsi="等线" w:eastAsia="等线" w:cs="宋体"/>
                <w:kern w:val="0"/>
                <w:szCs w:val="21"/>
              </w:rPr>
              <w:t>拟派项目负责人近三年来负责上市公司或大型企业集团年报审计、重大资产重组、定向增发等项目报告签字次数，一次</w:t>
            </w:r>
            <w:r>
              <w:rPr>
                <w:rFonts w:hint="eastAsia" w:ascii="宋体" w:hAnsi="宋体" w:eastAsia="宋体" w:cs="宋体"/>
                <w:kern w:val="0"/>
                <w:szCs w:val="21"/>
              </w:rPr>
              <w:t>2</w:t>
            </w:r>
            <w:r>
              <w:rPr>
                <w:rFonts w:hint="eastAsia" w:ascii="等线" w:hAnsi="等线" w:eastAsia="等线" w:cs="宋体"/>
                <w:kern w:val="0"/>
                <w:szCs w:val="21"/>
              </w:rPr>
              <w:t>分，最高</w:t>
            </w:r>
            <w:r>
              <w:rPr>
                <w:rFonts w:hint="eastAsia" w:ascii="宋体" w:hAnsi="宋体" w:eastAsia="宋体" w:cs="宋体"/>
                <w:kern w:val="0"/>
                <w:szCs w:val="21"/>
              </w:rPr>
              <w:t>6</w:t>
            </w:r>
            <w:r>
              <w:rPr>
                <w:rFonts w:hint="eastAsia" w:ascii="等线" w:hAnsi="等线" w:eastAsia="等线" w:cs="宋体"/>
                <w:kern w:val="0"/>
                <w:szCs w:val="21"/>
              </w:rPr>
              <w:t>分。</w:t>
            </w:r>
          </w:p>
          <w:p w14:paraId="3767A9B7">
            <w:pPr>
              <w:widowControl/>
              <w:ind w:firstLine="420" w:firstLineChars="200"/>
              <w:rPr>
                <w:rFonts w:ascii="等线" w:hAnsi="等线" w:eastAsia="等线" w:cs="宋体"/>
                <w:kern w:val="0"/>
                <w:szCs w:val="21"/>
              </w:rPr>
            </w:pPr>
            <w:r>
              <w:rPr>
                <w:rFonts w:hint="eastAsia" w:ascii="等线" w:hAnsi="等线" w:eastAsia="等线" w:cs="宋体"/>
                <w:kern w:val="0"/>
                <w:szCs w:val="21"/>
                <w:lang w:eastAsia="zh-CN"/>
              </w:rPr>
              <w:t>2.</w:t>
            </w:r>
            <w:r>
              <w:rPr>
                <w:rFonts w:hint="eastAsia" w:ascii="等线" w:hAnsi="等线" w:eastAsia="等线" w:cs="宋体"/>
                <w:kern w:val="0"/>
                <w:szCs w:val="21"/>
              </w:rPr>
              <w:t>拟派项目团队成员（不含项目负责人）中每有一名成员具有执业注册会计师证书得1分，最高4分。</w:t>
            </w:r>
          </w:p>
          <w:p w14:paraId="1EE69511">
            <w:pPr>
              <w:widowControl/>
              <w:ind w:firstLine="420" w:firstLineChars="200"/>
              <w:jc w:val="left"/>
              <w:rPr>
                <w:rFonts w:ascii="仿宋" w:hAnsi="仿宋"/>
                <w:kern w:val="0"/>
                <w:szCs w:val="21"/>
              </w:rPr>
            </w:pPr>
          </w:p>
          <w:p w14:paraId="0EF180E0">
            <w:pPr>
              <w:widowControl/>
              <w:ind w:firstLine="420" w:firstLineChars="200"/>
              <w:jc w:val="left"/>
              <w:rPr>
                <w:rFonts w:ascii="仿宋" w:hAnsi="仿宋"/>
              </w:rPr>
            </w:pPr>
            <w:r>
              <w:rPr>
                <w:rFonts w:hint="eastAsia" w:ascii="仿宋" w:hAnsi="仿宋"/>
                <w:kern w:val="0"/>
                <w:szCs w:val="21"/>
              </w:rPr>
              <w:t>注</w:t>
            </w:r>
            <w:r>
              <w:rPr>
                <w:rFonts w:hint="eastAsia" w:ascii="仿宋" w:hAnsi="仿宋"/>
                <w:kern w:val="0"/>
                <w:szCs w:val="21"/>
                <w:lang w:eastAsia="zh-CN"/>
              </w:rPr>
              <w:t>：</w:t>
            </w:r>
            <w:r>
              <w:rPr>
                <w:rFonts w:hint="eastAsia" w:ascii="仿宋" w:hAnsi="仿宋"/>
                <w:kern w:val="0"/>
                <w:szCs w:val="21"/>
              </w:rPr>
              <w:t>提供业务合同、报告及证书复印件</w:t>
            </w:r>
          </w:p>
        </w:tc>
      </w:tr>
      <w:tr w14:paraId="478AE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0" w:hRule="atLeast"/>
          <w:jc w:val="center"/>
        </w:trPr>
        <w:tc>
          <w:tcPr>
            <w:tcW w:w="1850" w:type="dxa"/>
            <w:vMerge w:val="restart"/>
            <w:tcBorders>
              <w:top w:val="single" w:color="auto" w:sz="4" w:space="0"/>
            </w:tcBorders>
            <w:vAlign w:val="center"/>
          </w:tcPr>
          <w:p w14:paraId="5F9397FA">
            <w:pPr>
              <w:pStyle w:val="16"/>
              <w:numPr>
                <w:ilvl w:val="255"/>
                <w:numId w:val="0"/>
              </w:numPr>
              <w:ind w:right="105"/>
              <w:jc w:val="center"/>
              <w:rPr>
                <w:color w:val="auto"/>
              </w:rPr>
            </w:pPr>
            <w:r>
              <w:rPr>
                <w:rFonts w:hint="eastAsia"/>
                <w:color w:val="auto"/>
              </w:rPr>
              <w:t>质量管理评分标准（40分）</w:t>
            </w:r>
          </w:p>
        </w:tc>
        <w:tc>
          <w:tcPr>
            <w:tcW w:w="1599" w:type="dxa"/>
            <w:vAlign w:val="center"/>
          </w:tcPr>
          <w:p w14:paraId="3C3A4E0D">
            <w:pPr>
              <w:widowControl/>
              <w:jc w:val="center"/>
              <w:textAlignment w:val="center"/>
            </w:pPr>
            <w:r>
              <w:rPr>
                <w:rFonts w:hint="eastAsia" w:ascii="宋体" w:hAnsi="宋体" w:cs="宋体"/>
                <w:kern w:val="0"/>
                <w:sz w:val="22"/>
              </w:rPr>
              <w:t>项目咨询、意见分歧解决机制</w:t>
            </w:r>
            <w:r>
              <w:rPr>
                <w:rFonts w:hint="eastAsia" w:ascii="宋体" w:hAnsi="宋体" w:cs="宋体"/>
                <w:kern w:val="0"/>
                <w:sz w:val="22"/>
              </w:rPr>
              <w:br w:type="textWrapping"/>
            </w:r>
            <w:r>
              <w:rPr>
                <w:rFonts w:hint="eastAsia" w:ascii="宋体" w:hAnsi="宋体" w:cs="宋体"/>
                <w:kern w:val="0"/>
                <w:sz w:val="22"/>
              </w:rPr>
              <w:t>（1</w:t>
            </w:r>
            <w:r>
              <w:rPr>
                <w:rFonts w:hint="default" w:ascii="宋体" w:hAnsi="宋体" w:cs="宋体"/>
                <w:kern w:val="0"/>
                <w:sz w:val="22"/>
                <w:lang w:val="en-US"/>
              </w:rPr>
              <w:t>0</w:t>
            </w:r>
            <w:r>
              <w:rPr>
                <w:rFonts w:hint="eastAsia" w:ascii="宋体" w:hAnsi="宋体" w:cs="宋体"/>
                <w:kern w:val="0"/>
                <w:sz w:val="22"/>
              </w:rPr>
              <w:t>分）</w:t>
            </w:r>
          </w:p>
        </w:tc>
        <w:tc>
          <w:tcPr>
            <w:tcW w:w="6742" w:type="dxa"/>
            <w:tcBorders>
              <w:top w:val="single" w:color="auto" w:sz="4" w:space="0"/>
            </w:tcBorders>
            <w:vAlign w:val="center"/>
          </w:tcPr>
          <w:p w14:paraId="23D128B5">
            <w:pPr>
              <w:pStyle w:val="16"/>
              <w:numPr>
                <w:ilvl w:val="255"/>
                <w:numId w:val="0"/>
              </w:numPr>
              <w:ind w:right="105"/>
              <w:rPr>
                <w:rFonts w:ascii="等线" w:hAnsi="等线" w:eastAsia="等线"/>
                <w:color w:val="auto"/>
              </w:rPr>
            </w:pPr>
            <w:r>
              <w:rPr>
                <w:rFonts w:hint="eastAsia" w:ascii="等线" w:hAnsi="等线" w:eastAsia="等线"/>
                <w:color w:val="auto"/>
              </w:rPr>
              <w:t>具有完善的项目咨询和意见分歧解决管理制度、流程和执行标准，配备专业人员，能够帮助招标人评估和改善财务管理和内部控制体系并出具管理建议书。优秀得</w:t>
            </w:r>
            <w:r>
              <w:rPr>
                <w:rFonts w:hint="default" w:ascii="宋体" w:hAnsi="宋体" w:eastAsia="宋体"/>
                <w:color w:val="auto"/>
                <w:lang w:val="en-US"/>
              </w:rPr>
              <w:t>9</w:t>
            </w:r>
            <w:r>
              <w:rPr>
                <w:rFonts w:hint="eastAsia" w:ascii="宋体" w:hAnsi="宋体" w:eastAsia="宋体"/>
                <w:color w:val="auto"/>
                <w:lang w:val="en-US" w:eastAsia="zh-CN"/>
              </w:rPr>
              <w:t>—</w:t>
            </w:r>
            <w:r>
              <w:rPr>
                <w:rFonts w:hint="eastAsia" w:ascii="宋体" w:hAnsi="宋体" w:eastAsia="宋体"/>
                <w:color w:val="auto"/>
              </w:rPr>
              <w:t>1</w:t>
            </w:r>
            <w:r>
              <w:rPr>
                <w:rFonts w:hint="default" w:ascii="宋体" w:hAnsi="宋体" w:eastAsia="宋体"/>
                <w:color w:val="auto"/>
                <w:lang w:val="en-US"/>
              </w:rPr>
              <w:t>0</w:t>
            </w:r>
            <w:r>
              <w:rPr>
                <w:rFonts w:hint="eastAsia" w:ascii="宋体" w:hAnsi="宋体" w:eastAsia="宋体"/>
                <w:color w:val="auto"/>
              </w:rPr>
              <w:t>分</w:t>
            </w:r>
            <w:r>
              <w:rPr>
                <w:rFonts w:hint="eastAsia" w:ascii="宋体" w:hAnsi="宋体" w:eastAsia="宋体"/>
                <w:color w:val="auto"/>
                <w:lang w:eastAsia="zh-CN"/>
              </w:rPr>
              <w:t>，</w:t>
            </w:r>
            <w:r>
              <w:rPr>
                <w:rFonts w:hint="eastAsia" w:ascii="等线" w:hAnsi="等线" w:eastAsia="等线"/>
                <w:color w:val="auto"/>
              </w:rPr>
              <w:t>良好得6</w:t>
            </w:r>
            <w:r>
              <w:rPr>
                <w:rFonts w:hint="eastAsia" w:ascii="等线" w:hAnsi="等线" w:eastAsia="等线"/>
                <w:color w:val="auto"/>
                <w:lang w:eastAsia="zh-CN"/>
              </w:rPr>
              <w:t>—</w:t>
            </w:r>
            <w:r>
              <w:rPr>
                <w:rFonts w:hint="default" w:ascii="等线" w:hAnsi="等线" w:eastAsia="等线"/>
                <w:color w:val="auto"/>
                <w:lang w:val="en-US"/>
              </w:rPr>
              <w:t>7</w:t>
            </w:r>
            <w:r>
              <w:rPr>
                <w:rFonts w:hint="eastAsia" w:ascii="等线" w:hAnsi="等线" w:eastAsia="等线"/>
                <w:color w:val="auto"/>
              </w:rPr>
              <w:t>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5分。</w:t>
            </w:r>
          </w:p>
          <w:p w14:paraId="2A137562">
            <w:pPr>
              <w:pStyle w:val="16"/>
              <w:numPr>
                <w:ilvl w:val="255"/>
                <w:numId w:val="0"/>
              </w:numPr>
              <w:ind w:right="105"/>
              <w:rPr>
                <w:rFonts w:ascii="等线" w:hAnsi="等线" w:eastAsia="等线"/>
                <w:color w:val="auto"/>
              </w:rPr>
            </w:pPr>
            <w:r>
              <w:rPr>
                <w:rFonts w:hint="eastAsia" w:ascii="等线" w:hAnsi="等线" w:eastAsia="等线"/>
                <w:color w:val="auto"/>
              </w:rPr>
              <w:t>注：提供相关</w:t>
            </w:r>
            <w:r>
              <w:rPr>
                <w:rFonts w:hint="eastAsia" w:ascii="等线" w:hAnsi="等线" w:eastAsia="等线"/>
                <w:color w:val="auto"/>
                <w:lang w:eastAsia="zh-CN"/>
              </w:rPr>
              <w:t>管理制度。</w:t>
            </w:r>
          </w:p>
        </w:tc>
      </w:tr>
      <w:tr w14:paraId="38C9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continue"/>
            <w:vAlign w:val="center"/>
          </w:tcPr>
          <w:p w14:paraId="3765190A">
            <w:pPr>
              <w:pStyle w:val="16"/>
              <w:numPr>
                <w:ilvl w:val="255"/>
                <w:numId w:val="0"/>
              </w:numPr>
              <w:ind w:right="105"/>
              <w:jc w:val="center"/>
              <w:rPr>
                <w:color w:val="auto"/>
              </w:rPr>
            </w:pPr>
          </w:p>
        </w:tc>
        <w:tc>
          <w:tcPr>
            <w:tcW w:w="1599" w:type="dxa"/>
          </w:tcPr>
          <w:p w14:paraId="3C7E7285">
            <w:r>
              <w:rPr>
                <w:rFonts w:hint="eastAsia"/>
              </w:rPr>
              <w:t>行政处罚及监管措施（</w:t>
            </w:r>
            <w:r>
              <w:rPr>
                <w:rFonts w:hint="eastAsia"/>
                <w:lang w:val="en-US" w:eastAsia="zh-CN"/>
              </w:rPr>
              <w:t>5</w:t>
            </w:r>
            <w:r>
              <w:t>分）</w:t>
            </w:r>
          </w:p>
        </w:tc>
        <w:tc>
          <w:tcPr>
            <w:tcW w:w="6742" w:type="dxa"/>
            <w:tcBorders>
              <w:top w:val="single" w:color="auto" w:sz="4" w:space="0"/>
            </w:tcBorders>
          </w:tcPr>
          <w:p w14:paraId="59FC22A5">
            <w:pPr>
              <w:rPr>
                <w:rFonts w:hint="default" w:eastAsiaTheme="minorEastAsia"/>
                <w:lang w:val="en-US" w:eastAsia="zh-CN"/>
              </w:rPr>
            </w:pPr>
            <w:r>
              <w:t>公司</w:t>
            </w:r>
            <w:r>
              <w:rPr>
                <w:rFonts w:hint="eastAsia"/>
                <w:lang w:val="en-US" w:eastAsia="zh-CN"/>
              </w:rPr>
              <w:t>最近三年</w:t>
            </w:r>
            <w:r>
              <w:t>不存在行政处罚及监管措施得</w:t>
            </w:r>
            <w:r>
              <w:rPr>
                <w:rFonts w:hint="eastAsia"/>
                <w:lang w:val="en-US" w:eastAsia="zh-CN"/>
              </w:rPr>
              <w:t>5</w:t>
            </w:r>
            <w:r>
              <w:t>分，存在行政处罚一项扣</w:t>
            </w:r>
            <w:r>
              <w:rPr>
                <w:rFonts w:hint="eastAsia"/>
                <w:lang w:val="en-US" w:eastAsia="zh-CN"/>
              </w:rPr>
              <w:t>2</w:t>
            </w:r>
            <w:r>
              <w:t>分，存在监管措施每一项扣0.5分</w:t>
            </w:r>
            <w:r>
              <w:rPr>
                <w:rFonts w:hint="eastAsia"/>
                <w:lang w:eastAsia="zh-CN"/>
              </w:rPr>
              <w:t>，</w:t>
            </w:r>
            <w:r>
              <w:rPr>
                <w:rFonts w:hint="eastAsia"/>
                <w:lang w:val="en-US" w:eastAsia="zh-CN"/>
              </w:rPr>
              <w:t>最低得0分。</w:t>
            </w:r>
          </w:p>
        </w:tc>
      </w:tr>
      <w:tr w14:paraId="47350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continue"/>
            <w:vAlign w:val="center"/>
          </w:tcPr>
          <w:p w14:paraId="36C7D6EA">
            <w:pPr>
              <w:pStyle w:val="16"/>
              <w:numPr>
                <w:ilvl w:val="255"/>
                <w:numId w:val="0"/>
              </w:numPr>
              <w:ind w:right="105"/>
              <w:jc w:val="center"/>
              <w:rPr>
                <w:color w:val="auto"/>
              </w:rPr>
            </w:pPr>
          </w:p>
        </w:tc>
        <w:tc>
          <w:tcPr>
            <w:tcW w:w="1599" w:type="dxa"/>
            <w:vAlign w:val="center"/>
          </w:tcPr>
          <w:p w14:paraId="2B8C9C69">
            <w:pPr>
              <w:widowControl/>
              <w:jc w:val="center"/>
              <w:textAlignment w:val="center"/>
            </w:pPr>
            <w:r>
              <w:rPr>
                <w:rFonts w:hint="eastAsia" w:ascii="宋体" w:hAnsi="宋体" w:cs="宋体"/>
                <w:kern w:val="0"/>
                <w:sz w:val="22"/>
              </w:rPr>
              <w:t>项目质量复核</w:t>
            </w:r>
            <w:r>
              <w:rPr>
                <w:rFonts w:hint="eastAsia" w:ascii="宋体" w:hAnsi="宋体" w:cs="宋体"/>
                <w:kern w:val="0"/>
                <w:sz w:val="22"/>
              </w:rPr>
              <w:br w:type="textWrapping"/>
            </w:r>
            <w:r>
              <w:rPr>
                <w:rFonts w:hint="eastAsia" w:ascii="宋体" w:hAnsi="宋体" w:cs="宋体"/>
                <w:kern w:val="0"/>
                <w:sz w:val="22"/>
              </w:rPr>
              <w:t>（</w:t>
            </w:r>
            <w:r>
              <w:rPr>
                <w:rFonts w:hint="eastAsia" w:ascii="宋体" w:hAnsi="宋体" w:cs="宋体"/>
                <w:kern w:val="0"/>
                <w:sz w:val="22"/>
                <w:lang w:val="en-US" w:eastAsia="zh-CN"/>
              </w:rPr>
              <w:t>10</w:t>
            </w:r>
            <w:r>
              <w:rPr>
                <w:rFonts w:hint="eastAsia" w:ascii="宋体" w:hAnsi="宋体" w:cs="宋体"/>
                <w:kern w:val="0"/>
                <w:sz w:val="22"/>
              </w:rPr>
              <w:t>分）</w:t>
            </w:r>
          </w:p>
        </w:tc>
        <w:tc>
          <w:tcPr>
            <w:tcW w:w="6742" w:type="dxa"/>
            <w:tcBorders>
              <w:top w:val="single" w:color="auto" w:sz="4" w:space="0"/>
            </w:tcBorders>
            <w:vAlign w:val="center"/>
          </w:tcPr>
          <w:p w14:paraId="4C5933F9">
            <w:pPr>
              <w:pStyle w:val="16"/>
              <w:numPr>
                <w:ilvl w:val="255"/>
                <w:numId w:val="0"/>
              </w:numPr>
              <w:ind w:right="105"/>
              <w:rPr>
                <w:rFonts w:ascii="等线" w:hAnsi="等线" w:eastAsia="等线"/>
                <w:color w:val="auto"/>
              </w:rPr>
            </w:pPr>
            <w:r>
              <w:rPr>
                <w:rFonts w:hint="eastAsia" w:ascii="等线" w:hAnsi="等线" w:eastAsia="等线"/>
                <w:color w:val="auto"/>
              </w:rPr>
              <w:t>具有完善的质量复核管理制度和执行标准（明确质量复核人员应具备相应的任职资格和质量复核执行标准）</w:t>
            </w:r>
            <w:r>
              <w:rPr>
                <w:rFonts w:hint="eastAsia" w:ascii="等线" w:hAnsi="等线" w:eastAsia="等线"/>
                <w:color w:val="auto"/>
                <w:lang w:eastAsia="zh-CN"/>
              </w:rPr>
              <w:t>。</w:t>
            </w:r>
            <w:r>
              <w:rPr>
                <w:rFonts w:hint="eastAsia" w:ascii="等线" w:hAnsi="等线" w:eastAsia="等线"/>
                <w:color w:val="auto"/>
              </w:rPr>
              <w:t>优秀得</w:t>
            </w:r>
            <w:r>
              <w:rPr>
                <w:rFonts w:hint="default" w:ascii="宋体" w:hAnsi="宋体" w:eastAsia="宋体"/>
                <w:color w:val="auto"/>
                <w:lang w:val="en-US"/>
              </w:rPr>
              <w:t>9</w:t>
            </w:r>
            <w:r>
              <w:rPr>
                <w:rFonts w:hint="eastAsia" w:ascii="宋体" w:hAnsi="宋体" w:eastAsia="宋体"/>
                <w:color w:val="auto"/>
                <w:lang w:val="en-US" w:eastAsia="zh-CN"/>
              </w:rPr>
              <w:t>—</w:t>
            </w:r>
            <w:r>
              <w:rPr>
                <w:rFonts w:hint="eastAsia" w:ascii="宋体" w:hAnsi="宋体" w:eastAsia="宋体"/>
                <w:color w:val="auto"/>
              </w:rPr>
              <w:t>1</w:t>
            </w:r>
            <w:r>
              <w:rPr>
                <w:rFonts w:hint="default" w:ascii="宋体" w:hAnsi="宋体" w:eastAsia="宋体"/>
                <w:color w:val="auto"/>
                <w:lang w:val="en-US"/>
              </w:rPr>
              <w:t>0</w:t>
            </w:r>
            <w:r>
              <w:rPr>
                <w:rFonts w:hint="eastAsia" w:ascii="宋体" w:hAnsi="宋体" w:eastAsia="宋体"/>
                <w:color w:val="auto"/>
              </w:rPr>
              <w:t>分</w:t>
            </w:r>
            <w:r>
              <w:rPr>
                <w:rFonts w:hint="eastAsia" w:ascii="宋体" w:hAnsi="宋体" w:eastAsia="宋体"/>
                <w:color w:val="auto"/>
                <w:lang w:eastAsia="zh-CN"/>
              </w:rPr>
              <w:t>，</w:t>
            </w:r>
            <w:r>
              <w:rPr>
                <w:rFonts w:hint="eastAsia" w:ascii="等线" w:hAnsi="等线" w:eastAsia="等线"/>
                <w:color w:val="auto"/>
              </w:rPr>
              <w:t>良好得6</w:t>
            </w:r>
            <w:r>
              <w:rPr>
                <w:rFonts w:hint="eastAsia" w:ascii="等线" w:hAnsi="等线" w:eastAsia="等线"/>
                <w:color w:val="auto"/>
                <w:lang w:eastAsia="zh-CN"/>
              </w:rPr>
              <w:t>—</w:t>
            </w:r>
            <w:r>
              <w:rPr>
                <w:rFonts w:hint="default" w:ascii="等线" w:hAnsi="等线" w:eastAsia="等线"/>
                <w:color w:val="auto"/>
                <w:lang w:val="en-US"/>
              </w:rPr>
              <w:t>7</w:t>
            </w:r>
            <w:r>
              <w:rPr>
                <w:rFonts w:hint="eastAsia" w:ascii="等线" w:hAnsi="等线" w:eastAsia="等线"/>
                <w:color w:val="auto"/>
              </w:rPr>
              <w:t>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5分。</w:t>
            </w:r>
          </w:p>
          <w:p w14:paraId="152BAA68">
            <w:pPr>
              <w:pStyle w:val="16"/>
              <w:numPr>
                <w:ilvl w:val="255"/>
                <w:numId w:val="0"/>
              </w:numPr>
              <w:ind w:right="105"/>
              <w:rPr>
                <w:rFonts w:ascii="等线" w:hAnsi="等线" w:eastAsia="等线"/>
                <w:color w:val="auto"/>
              </w:rPr>
            </w:pPr>
            <w:r>
              <w:rPr>
                <w:rFonts w:hint="eastAsia" w:ascii="等线" w:hAnsi="等线" w:eastAsia="等线"/>
                <w:color w:val="auto"/>
              </w:rPr>
              <w:t>注：提供相关管理制度和证明材料</w:t>
            </w:r>
          </w:p>
        </w:tc>
      </w:tr>
      <w:tr w14:paraId="6A9A0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jc w:val="center"/>
        </w:trPr>
        <w:tc>
          <w:tcPr>
            <w:tcW w:w="1850" w:type="dxa"/>
            <w:vMerge w:val="continue"/>
            <w:vAlign w:val="center"/>
          </w:tcPr>
          <w:p w14:paraId="596DCF9A">
            <w:pPr>
              <w:pStyle w:val="16"/>
              <w:numPr>
                <w:ilvl w:val="255"/>
                <w:numId w:val="0"/>
              </w:numPr>
              <w:ind w:right="105"/>
              <w:jc w:val="center"/>
              <w:rPr>
                <w:color w:val="auto"/>
              </w:rPr>
            </w:pPr>
          </w:p>
        </w:tc>
        <w:tc>
          <w:tcPr>
            <w:tcW w:w="1599" w:type="dxa"/>
            <w:vAlign w:val="center"/>
          </w:tcPr>
          <w:p w14:paraId="64C23F6E">
            <w:pPr>
              <w:widowControl/>
              <w:jc w:val="center"/>
              <w:textAlignment w:val="center"/>
              <w:rPr>
                <w:rFonts w:ascii="宋体" w:hAnsi="宋体" w:cs="宋体"/>
                <w:kern w:val="0"/>
                <w:sz w:val="22"/>
              </w:rPr>
            </w:pPr>
            <w:r>
              <w:rPr>
                <w:rFonts w:hint="eastAsia" w:ascii="宋体" w:hAnsi="宋体" w:cs="宋体"/>
                <w:kern w:val="0"/>
                <w:sz w:val="22"/>
              </w:rPr>
              <w:t>项目质量检查</w:t>
            </w:r>
          </w:p>
          <w:p w14:paraId="0B083BCD">
            <w:pPr>
              <w:widowControl/>
              <w:jc w:val="center"/>
              <w:textAlignment w:val="center"/>
            </w:pPr>
            <w:r>
              <w:rPr>
                <w:rFonts w:hint="eastAsia" w:ascii="宋体" w:hAnsi="宋体" w:cs="宋体"/>
                <w:kern w:val="0"/>
                <w:sz w:val="22"/>
              </w:rPr>
              <w:t>（</w:t>
            </w:r>
            <w:r>
              <w:rPr>
                <w:rFonts w:hint="eastAsia" w:ascii="宋体" w:hAnsi="宋体" w:cs="宋体"/>
                <w:kern w:val="0"/>
                <w:sz w:val="22"/>
                <w:lang w:val="en-US" w:eastAsia="zh-CN"/>
              </w:rPr>
              <w:t>10</w:t>
            </w:r>
            <w:r>
              <w:rPr>
                <w:rFonts w:hint="eastAsia" w:ascii="宋体" w:hAnsi="宋体" w:cs="宋体"/>
                <w:kern w:val="0"/>
                <w:sz w:val="22"/>
              </w:rPr>
              <w:t>分）</w:t>
            </w:r>
          </w:p>
        </w:tc>
        <w:tc>
          <w:tcPr>
            <w:tcW w:w="6742" w:type="dxa"/>
            <w:tcBorders>
              <w:top w:val="single" w:color="auto" w:sz="4" w:space="0"/>
            </w:tcBorders>
            <w:vAlign w:val="center"/>
          </w:tcPr>
          <w:p w14:paraId="55EADCF8">
            <w:pPr>
              <w:pStyle w:val="16"/>
              <w:numPr>
                <w:ilvl w:val="255"/>
                <w:numId w:val="0"/>
              </w:numPr>
              <w:ind w:right="105"/>
              <w:rPr>
                <w:rFonts w:ascii="等线" w:hAnsi="等线" w:eastAsia="等线"/>
                <w:color w:val="auto"/>
              </w:rPr>
            </w:pPr>
            <w:r>
              <w:rPr>
                <w:rFonts w:hint="eastAsia" w:ascii="等线" w:hAnsi="等线" w:eastAsia="等线"/>
                <w:color w:val="auto"/>
              </w:rPr>
              <w:t>具有完善的质量检查管理制度、流程和评价标准，能指导投标人改进并提升服务水平。优秀得9</w:t>
            </w:r>
            <w:r>
              <w:rPr>
                <w:rFonts w:hint="eastAsia" w:ascii="等线" w:hAnsi="等线" w:eastAsia="等线"/>
                <w:color w:val="auto"/>
                <w:lang w:eastAsia="zh-CN"/>
              </w:rPr>
              <w:t>—</w:t>
            </w:r>
            <w:r>
              <w:rPr>
                <w:rFonts w:hint="eastAsia" w:ascii="等线" w:hAnsi="等线" w:eastAsia="等线"/>
                <w:color w:val="auto"/>
              </w:rPr>
              <w:t>10分</w:t>
            </w:r>
            <w:r>
              <w:rPr>
                <w:rFonts w:hint="eastAsia" w:ascii="等线" w:hAnsi="等线" w:eastAsia="等线"/>
                <w:color w:val="auto"/>
                <w:lang w:eastAsia="zh-CN"/>
              </w:rPr>
              <w:t>，</w:t>
            </w:r>
            <w:r>
              <w:rPr>
                <w:rFonts w:hint="eastAsia" w:ascii="等线" w:hAnsi="等线" w:eastAsia="等线"/>
                <w:color w:val="auto"/>
              </w:rPr>
              <w:t>良好得6</w:t>
            </w:r>
            <w:r>
              <w:rPr>
                <w:rFonts w:hint="eastAsia" w:ascii="等线" w:hAnsi="等线" w:eastAsia="等线"/>
                <w:color w:val="auto"/>
                <w:lang w:eastAsia="zh-CN"/>
              </w:rPr>
              <w:t>—</w:t>
            </w:r>
            <w:r>
              <w:rPr>
                <w:rFonts w:hint="eastAsia" w:ascii="等线" w:hAnsi="等线" w:eastAsia="等线"/>
                <w:color w:val="auto"/>
              </w:rPr>
              <w:t>7分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5分</w:t>
            </w:r>
            <w:r>
              <w:rPr>
                <w:rFonts w:hint="eastAsia" w:ascii="等线" w:hAnsi="等线" w:eastAsia="等线"/>
                <w:color w:val="auto"/>
                <w:lang w:eastAsia="zh-CN"/>
              </w:rPr>
              <w:t>。</w:t>
            </w:r>
          </w:p>
          <w:p w14:paraId="2E2C0A75">
            <w:pPr>
              <w:pStyle w:val="16"/>
              <w:numPr>
                <w:ilvl w:val="255"/>
                <w:numId w:val="0"/>
              </w:numPr>
              <w:ind w:right="105"/>
              <w:rPr>
                <w:rFonts w:ascii="等线" w:hAnsi="等线" w:eastAsia="等线"/>
                <w:color w:val="auto"/>
              </w:rPr>
            </w:pPr>
            <w:r>
              <w:rPr>
                <w:rFonts w:hint="eastAsia" w:ascii="等线" w:hAnsi="等线" w:eastAsia="等线"/>
                <w:color w:val="auto"/>
              </w:rPr>
              <w:t>注：提供相关管理制度</w:t>
            </w:r>
          </w:p>
        </w:tc>
      </w:tr>
      <w:tr w14:paraId="2EEC5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continue"/>
            <w:vAlign w:val="center"/>
          </w:tcPr>
          <w:p w14:paraId="3226CFD2">
            <w:pPr>
              <w:pStyle w:val="16"/>
              <w:numPr>
                <w:ilvl w:val="255"/>
                <w:numId w:val="0"/>
              </w:numPr>
              <w:ind w:right="105"/>
              <w:jc w:val="center"/>
              <w:rPr>
                <w:color w:val="auto"/>
              </w:rPr>
            </w:pPr>
          </w:p>
        </w:tc>
        <w:tc>
          <w:tcPr>
            <w:tcW w:w="1599" w:type="dxa"/>
            <w:vAlign w:val="center"/>
          </w:tcPr>
          <w:p w14:paraId="15FF8B0D">
            <w:pPr>
              <w:widowControl/>
              <w:jc w:val="center"/>
              <w:textAlignment w:val="center"/>
            </w:pPr>
            <w:r>
              <w:rPr>
                <w:rFonts w:hint="eastAsia" w:ascii="宋体" w:hAnsi="宋体" w:cs="宋体"/>
                <w:kern w:val="0"/>
                <w:sz w:val="22"/>
              </w:rPr>
              <w:t>质量管理缺陷识别与整改</w:t>
            </w:r>
            <w:r>
              <w:rPr>
                <w:rFonts w:hint="eastAsia" w:ascii="宋体" w:hAnsi="宋体" w:cs="宋体"/>
                <w:kern w:val="0"/>
                <w:sz w:val="22"/>
              </w:rPr>
              <w:br w:type="textWrapping"/>
            </w:r>
            <w:r>
              <w:rPr>
                <w:rFonts w:hint="eastAsia" w:ascii="宋体" w:hAnsi="宋体" w:cs="宋体"/>
                <w:kern w:val="0"/>
                <w:sz w:val="22"/>
              </w:rPr>
              <w:t>（</w:t>
            </w:r>
            <w:r>
              <w:rPr>
                <w:rFonts w:hint="eastAsia" w:ascii="宋体" w:hAnsi="宋体" w:cs="宋体"/>
                <w:kern w:val="0"/>
                <w:sz w:val="22"/>
                <w:lang w:val="en-US" w:eastAsia="zh-CN"/>
              </w:rPr>
              <w:t>5</w:t>
            </w:r>
            <w:r>
              <w:rPr>
                <w:rFonts w:hint="eastAsia" w:ascii="宋体" w:hAnsi="宋体" w:cs="宋体"/>
                <w:kern w:val="0"/>
                <w:sz w:val="22"/>
              </w:rPr>
              <w:t>分）</w:t>
            </w:r>
          </w:p>
        </w:tc>
        <w:tc>
          <w:tcPr>
            <w:tcW w:w="6742" w:type="dxa"/>
            <w:tcBorders>
              <w:top w:val="single" w:color="auto" w:sz="4" w:space="0"/>
            </w:tcBorders>
            <w:vAlign w:val="center"/>
          </w:tcPr>
          <w:p w14:paraId="07862A72">
            <w:pPr>
              <w:pStyle w:val="16"/>
              <w:numPr>
                <w:ilvl w:val="255"/>
                <w:numId w:val="0"/>
              </w:numPr>
              <w:ind w:right="105"/>
              <w:rPr>
                <w:rFonts w:ascii="等线" w:hAnsi="等线" w:eastAsia="等线"/>
                <w:color w:val="auto"/>
              </w:rPr>
            </w:pPr>
            <w:r>
              <w:rPr>
                <w:rFonts w:hint="eastAsia" w:ascii="等线" w:hAnsi="等线" w:eastAsia="等线"/>
                <w:color w:val="auto"/>
              </w:rPr>
              <w:t>具有完善的质量管理缺陷识别与整改管理制度、流程和执行标准。优秀得4</w:t>
            </w:r>
            <w:r>
              <w:rPr>
                <w:rFonts w:hint="eastAsia" w:ascii="等线" w:hAnsi="等线" w:eastAsia="等线"/>
                <w:color w:val="auto"/>
                <w:lang w:eastAsia="zh-CN"/>
              </w:rPr>
              <w:t>—</w:t>
            </w:r>
            <w:r>
              <w:rPr>
                <w:rFonts w:hint="eastAsia" w:ascii="等线" w:hAnsi="等线" w:eastAsia="等线"/>
                <w:color w:val="auto"/>
                <w:lang w:val="en-US" w:eastAsia="zh-CN"/>
              </w:rPr>
              <w:t>5</w:t>
            </w:r>
            <w:r>
              <w:rPr>
                <w:rFonts w:hint="eastAsia" w:ascii="等线" w:hAnsi="等线" w:eastAsia="等线"/>
                <w:color w:val="auto"/>
              </w:rPr>
              <w:t>分</w:t>
            </w:r>
            <w:r>
              <w:rPr>
                <w:rFonts w:hint="eastAsia" w:ascii="等线" w:hAnsi="等线" w:eastAsia="等线"/>
                <w:color w:val="auto"/>
                <w:lang w:eastAsia="zh-CN"/>
              </w:rPr>
              <w:t>，</w:t>
            </w:r>
            <w:r>
              <w:rPr>
                <w:rFonts w:hint="eastAsia" w:ascii="等线" w:hAnsi="等线" w:eastAsia="等线"/>
                <w:color w:val="auto"/>
              </w:rPr>
              <w:t>良好得3分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2分。</w:t>
            </w:r>
          </w:p>
          <w:p w14:paraId="41171E26">
            <w:pPr>
              <w:pStyle w:val="16"/>
              <w:numPr>
                <w:ilvl w:val="255"/>
                <w:numId w:val="0"/>
              </w:numPr>
              <w:ind w:right="105"/>
              <w:rPr>
                <w:rFonts w:ascii="等线" w:hAnsi="等线" w:eastAsia="等线"/>
                <w:color w:val="auto"/>
              </w:rPr>
            </w:pPr>
            <w:r>
              <w:rPr>
                <w:rFonts w:hint="eastAsia" w:ascii="等线" w:hAnsi="等线" w:eastAsia="等线"/>
                <w:color w:val="auto"/>
              </w:rPr>
              <w:t>注：提供相关管理制度</w:t>
            </w:r>
          </w:p>
        </w:tc>
      </w:tr>
      <w:tr w14:paraId="293FA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restart"/>
            <w:tcBorders>
              <w:top w:val="single" w:color="auto" w:sz="4" w:space="0"/>
            </w:tcBorders>
            <w:vAlign w:val="center"/>
          </w:tcPr>
          <w:p w14:paraId="3CC2BBCA">
            <w:pPr>
              <w:pStyle w:val="18"/>
              <w:ind w:left="105" w:right="105"/>
              <w:rPr>
                <w:color w:val="auto"/>
              </w:rPr>
            </w:pPr>
            <w:r>
              <w:rPr>
                <w:color w:val="auto"/>
              </w:rPr>
              <w:t>技术评分标准</w:t>
            </w:r>
          </w:p>
          <w:p w14:paraId="15AB162B">
            <w:pPr>
              <w:pStyle w:val="18"/>
              <w:ind w:left="105" w:right="105"/>
              <w:rPr>
                <w:color w:val="auto"/>
              </w:rPr>
            </w:pPr>
            <w:r>
              <w:rPr>
                <w:color w:val="auto"/>
              </w:rPr>
              <w:t>（</w:t>
            </w:r>
            <w:r>
              <w:rPr>
                <w:rFonts w:hint="eastAsia"/>
                <w:color w:val="auto"/>
              </w:rPr>
              <w:t>25分）</w:t>
            </w:r>
          </w:p>
        </w:tc>
        <w:tc>
          <w:tcPr>
            <w:tcW w:w="1599" w:type="dxa"/>
            <w:vAlign w:val="center"/>
          </w:tcPr>
          <w:p w14:paraId="5F7E24AB">
            <w:pPr>
              <w:pStyle w:val="18"/>
              <w:ind w:left="105" w:right="105"/>
              <w:rPr>
                <w:color w:val="auto"/>
              </w:rPr>
            </w:pPr>
            <w:r>
              <w:rPr>
                <w:rFonts w:hint="eastAsia"/>
                <w:color w:val="auto"/>
              </w:rPr>
              <w:t>工作</w:t>
            </w:r>
            <w:r>
              <w:rPr>
                <w:color w:val="auto"/>
              </w:rPr>
              <w:t>方案</w:t>
            </w:r>
          </w:p>
          <w:p w14:paraId="0551A50B">
            <w:pPr>
              <w:pStyle w:val="18"/>
              <w:ind w:left="105" w:right="105"/>
              <w:rPr>
                <w:color w:val="auto"/>
              </w:rPr>
            </w:pPr>
            <w:r>
              <w:rPr>
                <w:color w:val="auto"/>
              </w:rPr>
              <w:t>（</w:t>
            </w:r>
            <w:r>
              <w:rPr>
                <w:rFonts w:hint="eastAsia"/>
                <w:color w:val="auto"/>
              </w:rPr>
              <w:t>20</w:t>
            </w:r>
            <w:r>
              <w:rPr>
                <w:color w:val="auto"/>
              </w:rPr>
              <w:t>分）</w:t>
            </w:r>
          </w:p>
        </w:tc>
        <w:tc>
          <w:tcPr>
            <w:tcW w:w="6742" w:type="dxa"/>
            <w:vAlign w:val="center"/>
          </w:tcPr>
          <w:p w14:paraId="28354035">
            <w:pPr>
              <w:pStyle w:val="16"/>
              <w:ind w:left="120" w:leftChars="0" w:right="105"/>
              <w:rPr>
                <w:color w:val="auto"/>
              </w:rPr>
            </w:pPr>
            <w:r>
              <w:rPr>
                <w:rFonts w:hint="eastAsia" w:ascii="等线" w:hAnsi="等线" w:eastAsia="等线"/>
                <w:color w:val="auto"/>
              </w:rPr>
              <w:t>根据项目要求和具体的行业特点拟定工作方案，包括工作流程</w:t>
            </w:r>
            <w:r>
              <w:rPr>
                <w:rFonts w:hint="eastAsia" w:ascii="等线" w:hAnsi="等线" w:eastAsia="等线"/>
                <w:color w:val="auto"/>
                <w:lang w:eastAsia="zh-CN"/>
              </w:rPr>
              <w:t>、项目</w:t>
            </w:r>
            <w:r>
              <w:rPr>
                <w:rFonts w:hint="eastAsia" w:ascii="等线" w:hAnsi="等线" w:eastAsia="等线"/>
                <w:color w:val="auto"/>
              </w:rPr>
              <w:t>进度、资料收集和整理、问题反馈和沟通、审核程序等。方案要求内容完整、可行性强、沟通流畅。优秀得16</w:t>
            </w:r>
            <w:r>
              <w:rPr>
                <w:rFonts w:hint="eastAsia" w:ascii="等线" w:hAnsi="等线" w:eastAsia="等线"/>
                <w:color w:val="auto"/>
                <w:lang w:eastAsia="zh-CN"/>
              </w:rPr>
              <w:t>—</w:t>
            </w:r>
            <w:r>
              <w:rPr>
                <w:rFonts w:hint="eastAsia" w:ascii="等线" w:hAnsi="等线" w:eastAsia="等线"/>
                <w:color w:val="auto"/>
              </w:rPr>
              <w:t>20分</w:t>
            </w:r>
            <w:r>
              <w:rPr>
                <w:rFonts w:hint="eastAsia" w:ascii="等线" w:hAnsi="等线" w:eastAsia="等线"/>
                <w:color w:val="auto"/>
                <w:lang w:eastAsia="zh-CN"/>
              </w:rPr>
              <w:t>，</w:t>
            </w:r>
            <w:r>
              <w:rPr>
                <w:rFonts w:hint="eastAsia" w:ascii="等线" w:hAnsi="等线" w:eastAsia="等线"/>
                <w:color w:val="auto"/>
              </w:rPr>
              <w:t>良好</w:t>
            </w:r>
            <w:r>
              <w:rPr>
                <w:rFonts w:hint="eastAsia" w:ascii="等线" w:hAnsi="等线" w:eastAsia="等线"/>
                <w:color w:val="auto"/>
                <w:lang w:eastAsia="zh-CN"/>
              </w:rPr>
              <w:t>得11—</w:t>
            </w:r>
            <w:r>
              <w:rPr>
                <w:rFonts w:hint="eastAsia" w:ascii="等线" w:hAnsi="等线" w:eastAsia="等线"/>
                <w:color w:val="auto"/>
              </w:rPr>
              <w:t>15分</w:t>
            </w:r>
            <w:r>
              <w:rPr>
                <w:rFonts w:hint="eastAsia" w:ascii="等线" w:hAnsi="等线" w:eastAsia="等线"/>
                <w:color w:val="auto"/>
                <w:lang w:eastAsia="zh-CN"/>
              </w:rPr>
              <w:t>，</w:t>
            </w:r>
            <w:r>
              <w:rPr>
                <w:rFonts w:hint="eastAsia" w:ascii="等线" w:hAnsi="等线" w:eastAsia="等线"/>
                <w:color w:val="auto"/>
              </w:rPr>
              <w:t>一般</w:t>
            </w:r>
            <w:r>
              <w:rPr>
                <w:rFonts w:hint="eastAsia" w:ascii="等线" w:hAnsi="等线" w:eastAsia="等线"/>
                <w:color w:val="auto"/>
                <w:lang w:eastAsia="zh-CN"/>
              </w:rPr>
              <w:t>得1—</w:t>
            </w:r>
            <w:r>
              <w:rPr>
                <w:rFonts w:hint="eastAsia" w:ascii="等线" w:hAnsi="等线" w:eastAsia="等线"/>
                <w:color w:val="auto"/>
              </w:rPr>
              <w:t>10分。</w:t>
            </w:r>
          </w:p>
          <w:p w14:paraId="1DED0759">
            <w:pPr>
              <w:pStyle w:val="16"/>
              <w:ind w:left="120" w:leftChars="0" w:right="105"/>
              <w:rPr>
                <w:color w:val="auto"/>
              </w:rPr>
            </w:pPr>
            <w:r>
              <w:rPr>
                <w:rFonts w:hint="eastAsia" w:ascii="等线" w:hAnsi="等线" w:eastAsia="等线"/>
                <w:color w:val="auto"/>
              </w:rPr>
              <w:t>注：提供工作方案</w:t>
            </w:r>
          </w:p>
        </w:tc>
      </w:tr>
      <w:tr w14:paraId="2FBEB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jc w:val="center"/>
        </w:trPr>
        <w:tc>
          <w:tcPr>
            <w:tcW w:w="1850" w:type="dxa"/>
            <w:vMerge w:val="continue"/>
            <w:vAlign w:val="center"/>
          </w:tcPr>
          <w:p w14:paraId="0B4A4C30">
            <w:pPr>
              <w:pStyle w:val="18"/>
              <w:ind w:left="105" w:right="105"/>
              <w:rPr>
                <w:color w:val="auto"/>
              </w:rPr>
            </w:pPr>
          </w:p>
        </w:tc>
        <w:tc>
          <w:tcPr>
            <w:tcW w:w="1599" w:type="dxa"/>
            <w:vAlign w:val="center"/>
          </w:tcPr>
          <w:p w14:paraId="3C5988EE">
            <w:pPr>
              <w:pStyle w:val="18"/>
              <w:ind w:left="105" w:right="105"/>
              <w:rPr>
                <w:color w:val="auto"/>
              </w:rPr>
            </w:pPr>
            <w:r>
              <w:rPr>
                <w:rFonts w:hint="eastAsia"/>
                <w:color w:val="auto"/>
              </w:rPr>
              <w:t>信息安全管理</w:t>
            </w:r>
          </w:p>
          <w:p w14:paraId="51E6F4D7">
            <w:pPr>
              <w:pStyle w:val="18"/>
              <w:ind w:left="105" w:right="105"/>
              <w:rPr>
                <w:color w:val="auto"/>
              </w:rPr>
            </w:pPr>
            <w:r>
              <w:rPr>
                <w:rFonts w:hint="eastAsia"/>
                <w:color w:val="auto"/>
              </w:rPr>
              <w:t>（3分）</w:t>
            </w:r>
          </w:p>
        </w:tc>
        <w:tc>
          <w:tcPr>
            <w:tcW w:w="6742" w:type="dxa"/>
            <w:vAlign w:val="center"/>
          </w:tcPr>
          <w:p w14:paraId="244BC8E7">
            <w:pPr>
              <w:pStyle w:val="16"/>
              <w:ind w:left="120" w:leftChars="0" w:right="105"/>
              <w:rPr>
                <w:color w:val="auto"/>
              </w:rPr>
            </w:pPr>
            <w:r>
              <w:rPr>
                <w:rFonts w:hint="eastAsia" w:ascii="等线" w:hAnsi="等线" w:eastAsia="等线"/>
                <w:color w:val="auto"/>
              </w:rPr>
              <w:t>具有健全的信息安全管理制度，能保护招标人的隐私、利益和信息安全，优秀得3分，一般</w:t>
            </w:r>
            <w:r>
              <w:rPr>
                <w:rFonts w:hint="eastAsia" w:ascii="等线" w:hAnsi="等线" w:eastAsia="等线"/>
                <w:color w:val="auto"/>
                <w:lang w:eastAsia="zh-CN"/>
              </w:rPr>
              <w:t>得1—</w:t>
            </w:r>
            <w:r>
              <w:rPr>
                <w:rFonts w:hint="eastAsia" w:ascii="等线" w:hAnsi="等线" w:eastAsia="等线"/>
                <w:color w:val="auto"/>
              </w:rPr>
              <w:t>2分。</w:t>
            </w:r>
          </w:p>
          <w:p w14:paraId="0A6715DF">
            <w:pPr>
              <w:pStyle w:val="16"/>
              <w:ind w:left="0" w:leftChars="0" w:right="105" w:firstLine="210" w:firstLineChars="100"/>
              <w:rPr>
                <w:color w:val="auto"/>
              </w:rPr>
            </w:pPr>
            <w:r>
              <w:rPr>
                <w:rFonts w:hint="eastAsia"/>
                <w:color w:val="auto"/>
              </w:rPr>
              <w:t>注：</w:t>
            </w:r>
            <w:r>
              <w:rPr>
                <w:rFonts w:hint="eastAsia" w:ascii="等线" w:hAnsi="等线" w:eastAsia="等线"/>
                <w:color w:val="auto"/>
              </w:rPr>
              <w:t>提供相关管理制度</w:t>
            </w:r>
          </w:p>
        </w:tc>
      </w:tr>
      <w:tr w14:paraId="461D7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jc w:val="center"/>
        </w:trPr>
        <w:tc>
          <w:tcPr>
            <w:tcW w:w="1850" w:type="dxa"/>
            <w:vMerge w:val="continue"/>
            <w:vAlign w:val="center"/>
          </w:tcPr>
          <w:p w14:paraId="42AE1CA0">
            <w:pPr>
              <w:pStyle w:val="18"/>
              <w:ind w:left="105" w:right="105"/>
              <w:rPr>
                <w:color w:val="auto"/>
              </w:rPr>
            </w:pPr>
          </w:p>
        </w:tc>
        <w:tc>
          <w:tcPr>
            <w:tcW w:w="1599" w:type="dxa"/>
            <w:vAlign w:val="center"/>
          </w:tcPr>
          <w:p w14:paraId="2C8D0FA0">
            <w:pPr>
              <w:pStyle w:val="18"/>
              <w:ind w:left="105" w:right="105"/>
              <w:rPr>
                <w:color w:val="auto"/>
              </w:rPr>
            </w:pPr>
            <w:r>
              <w:rPr>
                <w:rFonts w:hint="eastAsia"/>
                <w:color w:val="auto"/>
              </w:rPr>
              <w:t>风险承担能力（2分）</w:t>
            </w:r>
          </w:p>
          <w:p w14:paraId="3A9D3D60">
            <w:pPr>
              <w:pStyle w:val="18"/>
              <w:ind w:left="105" w:right="105"/>
              <w:rPr>
                <w:color w:val="auto"/>
              </w:rPr>
            </w:pPr>
          </w:p>
        </w:tc>
        <w:tc>
          <w:tcPr>
            <w:tcW w:w="6742" w:type="dxa"/>
          </w:tcPr>
          <w:p w14:paraId="3D4853F5">
            <w:pPr>
              <w:pStyle w:val="16"/>
              <w:ind w:left="0" w:leftChars="0" w:right="105" w:firstLine="210" w:firstLineChars="100"/>
              <w:rPr>
                <w:rFonts w:ascii="等线" w:hAnsi="等线" w:eastAsia="等线"/>
                <w:color w:val="auto"/>
              </w:rPr>
            </w:pPr>
            <w:r>
              <w:rPr>
                <w:rFonts w:hint="eastAsia" w:ascii="等线" w:hAnsi="等线" w:eastAsia="等线"/>
                <w:color w:val="auto"/>
              </w:rPr>
              <w:t>具有完善的风险控制制度和质量管理问责机制。优秀</w:t>
            </w:r>
            <w:r>
              <w:rPr>
                <w:rFonts w:hint="eastAsia" w:ascii="等线" w:hAnsi="等线" w:eastAsia="等线"/>
                <w:color w:val="auto"/>
                <w:lang w:eastAsia="zh-CN"/>
              </w:rPr>
              <w:t>得2</w:t>
            </w:r>
            <w:r>
              <w:rPr>
                <w:rFonts w:hint="eastAsia" w:ascii="等线" w:hAnsi="等线" w:eastAsia="等线"/>
                <w:color w:val="auto"/>
              </w:rPr>
              <w:t>分，一般</w:t>
            </w:r>
            <w:r>
              <w:rPr>
                <w:rFonts w:hint="eastAsia" w:ascii="等线" w:hAnsi="等线" w:eastAsia="等线"/>
                <w:color w:val="auto"/>
                <w:lang w:eastAsia="zh-CN"/>
              </w:rPr>
              <w:t>得1</w:t>
            </w:r>
            <w:r>
              <w:rPr>
                <w:rFonts w:hint="eastAsia" w:ascii="等线" w:hAnsi="等线" w:eastAsia="等线"/>
                <w:color w:val="auto"/>
              </w:rPr>
              <w:t>分。</w:t>
            </w:r>
          </w:p>
          <w:p w14:paraId="1AC9ADCE">
            <w:pPr>
              <w:pStyle w:val="16"/>
              <w:ind w:left="0" w:leftChars="0" w:right="105" w:firstLine="210" w:firstLineChars="100"/>
              <w:rPr>
                <w:rFonts w:ascii="宋体" w:hAnsi="宋体"/>
                <w:color w:val="auto"/>
              </w:rPr>
            </w:pPr>
            <w:r>
              <w:rPr>
                <w:rFonts w:hint="eastAsia" w:ascii="等线" w:hAnsi="等线" w:eastAsia="等线"/>
                <w:color w:val="auto"/>
              </w:rPr>
              <w:t>注：提供管理制度和相关证明材料</w:t>
            </w:r>
          </w:p>
        </w:tc>
      </w:tr>
      <w:tr w14:paraId="0C9C0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1850" w:type="dxa"/>
            <w:vMerge w:val="restart"/>
            <w:vAlign w:val="center"/>
          </w:tcPr>
          <w:p w14:paraId="743CF01E">
            <w:pPr>
              <w:pStyle w:val="18"/>
              <w:ind w:left="105" w:right="105"/>
              <w:rPr>
                <w:color w:val="auto"/>
              </w:rPr>
            </w:pPr>
            <w:r>
              <w:rPr>
                <w:color w:val="auto"/>
              </w:rPr>
              <w:t>报价评分标准</w:t>
            </w:r>
          </w:p>
          <w:p w14:paraId="60D497A6">
            <w:pPr>
              <w:pStyle w:val="18"/>
              <w:ind w:left="105" w:right="105"/>
              <w:rPr>
                <w:color w:val="auto"/>
              </w:rPr>
            </w:pPr>
            <w:r>
              <w:rPr>
                <w:color w:val="auto"/>
              </w:rPr>
              <w:t>（</w:t>
            </w:r>
            <w:r>
              <w:rPr>
                <w:rFonts w:hint="eastAsia"/>
                <w:color w:val="auto"/>
              </w:rPr>
              <w:t>15</w:t>
            </w:r>
            <w:r>
              <w:rPr>
                <w:color w:val="auto"/>
              </w:rPr>
              <w:t>分）</w:t>
            </w:r>
          </w:p>
        </w:tc>
        <w:tc>
          <w:tcPr>
            <w:tcW w:w="1599" w:type="dxa"/>
            <w:vAlign w:val="center"/>
          </w:tcPr>
          <w:p w14:paraId="56CA92BF">
            <w:pPr>
              <w:pStyle w:val="18"/>
              <w:ind w:left="105" w:right="105"/>
              <w:rPr>
                <w:color w:val="auto"/>
              </w:rPr>
            </w:pPr>
            <w:r>
              <w:rPr>
                <w:color w:val="auto"/>
              </w:rPr>
              <w:t>评审基准价计</w:t>
            </w:r>
          </w:p>
          <w:p w14:paraId="346C8241">
            <w:pPr>
              <w:pStyle w:val="18"/>
              <w:ind w:left="105" w:right="105"/>
              <w:rPr>
                <w:color w:val="auto"/>
              </w:rPr>
            </w:pPr>
            <w:r>
              <w:rPr>
                <w:color w:val="auto"/>
              </w:rPr>
              <w:t>算方法</w:t>
            </w:r>
          </w:p>
        </w:tc>
        <w:tc>
          <w:tcPr>
            <w:tcW w:w="6742" w:type="dxa"/>
            <w:vAlign w:val="center"/>
          </w:tcPr>
          <w:p w14:paraId="41CDBB6C">
            <w:pPr>
              <w:pStyle w:val="16"/>
              <w:ind w:left="105" w:right="105"/>
              <w:rPr>
                <w:rFonts w:ascii="宋体" w:hAnsi="宋体"/>
                <w:color w:val="auto"/>
              </w:rPr>
            </w:pPr>
            <w:r>
              <w:rPr>
                <w:rFonts w:hint="eastAsia"/>
                <w:color w:val="auto"/>
              </w:rPr>
              <w:t>评审基准价=通过初步评审合格的所有供应商的有效响应总报价的算术平均值</w:t>
            </w:r>
          </w:p>
        </w:tc>
      </w:tr>
      <w:tr w14:paraId="5D749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1850" w:type="dxa"/>
            <w:vMerge w:val="continue"/>
            <w:vAlign w:val="center"/>
          </w:tcPr>
          <w:p w14:paraId="58BF0919">
            <w:pPr>
              <w:pStyle w:val="18"/>
              <w:ind w:left="105" w:right="105"/>
              <w:rPr>
                <w:color w:val="auto"/>
              </w:rPr>
            </w:pPr>
          </w:p>
        </w:tc>
        <w:tc>
          <w:tcPr>
            <w:tcW w:w="1599" w:type="dxa"/>
            <w:vAlign w:val="center"/>
          </w:tcPr>
          <w:p w14:paraId="33CCD741">
            <w:pPr>
              <w:pStyle w:val="16"/>
              <w:spacing w:line="400" w:lineRule="exact"/>
              <w:ind w:left="525" w:right="105" w:hanging="420" w:hangingChars="200"/>
              <w:rPr>
                <w:color w:val="auto"/>
              </w:rPr>
            </w:pPr>
            <w:r>
              <w:rPr>
                <w:rFonts w:hint="eastAsia"/>
                <w:bCs/>
                <w:color w:val="auto"/>
              </w:rPr>
              <w:t>报价分值计算方法</w:t>
            </w:r>
          </w:p>
        </w:tc>
        <w:tc>
          <w:tcPr>
            <w:tcW w:w="6742" w:type="dxa"/>
            <w:vAlign w:val="center"/>
          </w:tcPr>
          <w:p w14:paraId="546AA3EA">
            <w:pPr>
              <w:ind w:firstLine="210" w:firstLineChars="100"/>
              <w:rPr>
                <w:rFonts w:cs="宋体"/>
                <w:kern w:val="0"/>
                <w:szCs w:val="21"/>
              </w:rPr>
            </w:pPr>
          </w:p>
          <w:p w14:paraId="1A1F36E8">
            <w:pPr>
              <w:ind w:firstLine="210" w:firstLineChars="100"/>
              <w:rPr>
                <w:rFonts w:cs="宋体"/>
                <w:kern w:val="0"/>
                <w:szCs w:val="21"/>
              </w:rPr>
            </w:pPr>
            <w:r>
              <w:rPr>
                <w:rFonts w:hint="eastAsia" w:cs="宋体"/>
                <w:kern w:val="0"/>
                <w:szCs w:val="21"/>
              </w:rPr>
              <w:t>审计费用报价得分=（1-|评审基准价-最终响应报价|/评审基准价）*15</w:t>
            </w:r>
          </w:p>
          <w:p w14:paraId="3A8A0F2A">
            <w:pPr>
              <w:pStyle w:val="16"/>
              <w:spacing w:line="400" w:lineRule="exact"/>
              <w:ind w:right="105"/>
              <w:rPr>
                <w:color w:val="auto"/>
              </w:rPr>
            </w:pPr>
          </w:p>
        </w:tc>
      </w:tr>
    </w:tbl>
    <w:p w14:paraId="4089A68C">
      <w:pPr>
        <w:pStyle w:val="19"/>
        <w:spacing w:line="500" w:lineRule="exact"/>
        <w:rPr>
          <w:rFonts w:ascii="Times New Roman" w:hAnsi="Times New Roman" w:cs="Times New Roman"/>
          <w:kern w:val="0"/>
          <w:szCs w:val="21"/>
        </w:rPr>
      </w:pPr>
      <w:r>
        <w:rPr>
          <w:rFonts w:hint="eastAsia" w:ascii="Times New Roman" w:hAnsi="Times New Roman" w:cs="Times New Roman"/>
          <w:kern w:val="0"/>
          <w:szCs w:val="21"/>
        </w:rPr>
        <w:t>说明：</w:t>
      </w:r>
    </w:p>
    <w:p w14:paraId="7BC7179B">
      <w:pPr>
        <w:pStyle w:val="19"/>
        <w:spacing w:line="500" w:lineRule="exact"/>
        <w:ind w:firstLine="420" w:firstLineChars="200"/>
        <w:rPr>
          <w:rFonts w:ascii="Times New Roman" w:hAnsi="Times New Roman" w:cs="Times New Roman"/>
          <w:kern w:val="0"/>
          <w:szCs w:val="21"/>
        </w:rPr>
      </w:pPr>
      <w:r>
        <w:rPr>
          <w:rFonts w:hint="eastAsia" w:ascii="Times New Roman" w:hAnsi="Times New Roman" w:cs="Times New Roman"/>
          <w:kern w:val="0"/>
          <w:szCs w:val="21"/>
          <w:lang w:eastAsia="zh-CN"/>
        </w:rPr>
        <w:t>1.</w:t>
      </w:r>
      <w:r>
        <w:rPr>
          <w:rFonts w:hint="eastAsia" w:ascii="Times New Roman" w:hAnsi="Times New Roman" w:cs="Times New Roman"/>
          <w:kern w:val="0"/>
          <w:szCs w:val="21"/>
        </w:rPr>
        <w:t>评审小组对每个有效的响应文件单独评价、打分。各项目若有缺项的，该项为0分；未按要求附相关业绩、证书或证明材料复印件或扫描件，视为未提供，对应项不得分，不视为无效文件。</w:t>
      </w:r>
    </w:p>
    <w:p w14:paraId="1FE191D7">
      <w:pPr>
        <w:spacing w:line="500" w:lineRule="exact"/>
        <w:ind w:firstLine="420" w:firstLineChars="200"/>
        <w:rPr>
          <w:rFonts w:ascii="Times New Roman" w:hAnsi="Times New Roman" w:cs="Times New Roman"/>
          <w:kern w:val="0"/>
          <w:szCs w:val="21"/>
        </w:rPr>
      </w:pPr>
      <w:r>
        <w:rPr>
          <w:rFonts w:hint="eastAsia" w:ascii="Times New Roman" w:hAnsi="Times New Roman" w:cs="Times New Roman"/>
          <w:kern w:val="0"/>
          <w:szCs w:val="21"/>
          <w:lang w:eastAsia="zh-CN"/>
        </w:rPr>
        <w:t>2.</w:t>
      </w:r>
      <w:r>
        <w:rPr>
          <w:rFonts w:hint="eastAsia" w:ascii="Times New Roman" w:hAnsi="Times New Roman" w:cs="Times New Roman"/>
          <w:kern w:val="0"/>
          <w:szCs w:val="21"/>
        </w:rPr>
        <w:t>供应商综合得分=商务部分得分+质量管理得分+技术部分得分+响应报价得分。</w:t>
      </w:r>
    </w:p>
    <w:p w14:paraId="2BA4BAC0">
      <w:pPr>
        <w:pStyle w:val="9"/>
        <w:spacing w:line="500" w:lineRule="exact"/>
        <w:ind w:firstLine="420" w:firstLineChars="200"/>
        <w:rPr>
          <w:rFonts w:ascii="Times New Roman" w:hAnsi="Times New Roman" w:cs="Times New Roman" w:eastAsiaTheme="minorEastAsia"/>
          <w:b w:val="0"/>
          <w:kern w:val="0"/>
          <w:sz w:val="21"/>
          <w:szCs w:val="21"/>
        </w:rPr>
      </w:pPr>
      <w:r>
        <w:rPr>
          <w:rFonts w:hint="eastAsia" w:ascii="Times New Roman" w:hAnsi="Times New Roman" w:cs="Times New Roman" w:eastAsiaTheme="minorEastAsia"/>
          <w:b w:val="0"/>
          <w:kern w:val="0"/>
          <w:sz w:val="21"/>
          <w:szCs w:val="21"/>
          <w:lang w:eastAsia="zh-CN"/>
        </w:rPr>
        <w:t>3.</w:t>
      </w:r>
      <w:r>
        <w:rPr>
          <w:rFonts w:hint="eastAsia" w:ascii="Times New Roman" w:hAnsi="Times New Roman" w:cs="Times New Roman" w:eastAsiaTheme="minorEastAsia"/>
          <w:b w:val="0"/>
          <w:kern w:val="0"/>
          <w:sz w:val="21"/>
          <w:szCs w:val="21"/>
        </w:rPr>
        <w:t>评审小组对商务部分、质量管理、技术部分、响应报价得分进行汇总，计算过程中评委个人分值按四舍五入保留两位小数，最终结果按四舍五入保留两位小数。以评审委员会打分的算术平均值作为该供应商的最终得分。</w:t>
      </w:r>
    </w:p>
    <w:p w14:paraId="661A5CC6">
      <w:pPr>
        <w:ind w:firstLine="562" w:firstLineChars="200"/>
        <w:rPr>
          <w:rFonts w:hint="default" w:ascii="仿宋" w:hAnsi="仿宋" w:eastAsia="仿宋" w:cs="仿宋"/>
          <w:b/>
          <w:sz w:val="28"/>
          <w:szCs w:val="28"/>
          <w:lang w:val="en-US" w:eastAsia="zh-CN"/>
        </w:rPr>
      </w:pPr>
      <w:r>
        <w:rPr>
          <w:rFonts w:hint="eastAsia" w:ascii="仿宋" w:hAnsi="仿宋" w:eastAsia="仿宋" w:cs="仿宋"/>
          <w:b/>
          <w:sz w:val="28"/>
          <w:szCs w:val="28"/>
        </w:rPr>
        <w:t>十</w:t>
      </w:r>
      <w:r>
        <w:rPr>
          <w:rFonts w:hint="eastAsia" w:ascii="仿宋" w:hAnsi="仿宋" w:eastAsia="仿宋" w:cs="仿宋"/>
          <w:b/>
          <w:sz w:val="28"/>
          <w:szCs w:val="28"/>
          <w:lang w:val="en-US" w:eastAsia="zh-CN"/>
        </w:rPr>
        <w:t>二</w:t>
      </w:r>
      <w:r>
        <w:rPr>
          <w:rFonts w:hint="eastAsia" w:ascii="仿宋" w:hAnsi="仿宋" w:eastAsia="仿宋" w:cs="仿宋"/>
          <w:b/>
          <w:sz w:val="28"/>
          <w:szCs w:val="28"/>
        </w:rPr>
        <w:t>、</w:t>
      </w:r>
      <w:r>
        <w:rPr>
          <w:rFonts w:hint="eastAsia" w:ascii="仿宋" w:hAnsi="仿宋" w:eastAsia="仿宋" w:cs="仿宋"/>
          <w:b/>
          <w:sz w:val="28"/>
          <w:szCs w:val="28"/>
          <w:lang w:val="en-US" w:eastAsia="zh-CN"/>
        </w:rPr>
        <w:t>其他要求</w:t>
      </w:r>
    </w:p>
    <w:p w14:paraId="73F448DF">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投标人请于2026年8月10日前将电子标书发送至</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"mailto:hualan@hualanbio.com，" </w:instrText>
      </w:r>
      <w:r>
        <w:rPr>
          <w:rFonts w:hint="eastAsia" w:ascii="仿宋" w:hAnsi="仿宋" w:eastAsia="仿宋" w:cs="仿宋"/>
          <w:sz w:val="28"/>
          <w:szCs w:val="28"/>
        </w:rPr>
        <w:fldChar w:fldCharType="separate"/>
      </w:r>
      <w:r>
        <w:rPr>
          <w:rStyle w:val="13"/>
          <w:rFonts w:hint="eastAsia" w:ascii="仿宋" w:hAnsi="仿宋" w:eastAsia="仿宋" w:cs="仿宋"/>
          <w:sz w:val="28"/>
          <w:szCs w:val="28"/>
        </w:rPr>
        <w:t>hlym@hualan.com</w:t>
      </w:r>
      <w:r>
        <w:rPr>
          <w:rStyle w:val="13"/>
          <w:rFonts w:hint="eastAsia" w:ascii="仿宋" w:hAnsi="仿宋" w:eastAsia="仿宋" w:cs="仿宋"/>
          <w:sz w:val="28"/>
          <w:szCs w:val="28"/>
          <w:lang w:eastAsia="zh-CN"/>
        </w:rPr>
        <w:t>，</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同时在8月10日前将盖章版文件快递至：河南省新乡市华兰大道甲1号附1号 华兰生物疫苗股份有限公司财务部（0373-3559896）。</w:t>
      </w:r>
    </w:p>
    <w:p w14:paraId="563A3146">
      <w:pPr>
        <w:rPr>
          <w:rFonts w:hint="eastAsia" w:ascii="黑体" w:hAnsi="黑体" w:eastAsia="黑体" w:cs="黑体"/>
          <w:lang w:val="en-US" w:eastAsia="zh-CN"/>
        </w:rPr>
      </w:pPr>
      <w:r>
        <w:rPr>
          <w:rFonts w:hint="eastAsia"/>
          <w:lang w:val="en-US" w:eastAsia="zh-CN"/>
        </w:rPr>
        <w:t xml:space="preserve">                                     </w:t>
      </w:r>
      <w:r>
        <w:rPr>
          <w:rFonts w:hint="eastAsia" w:ascii="黑体" w:hAnsi="黑体" w:eastAsia="黑体" w:cs="黑体"/>
          <w:lang w:val="en-US" w:eastAsia="zh-CN"/>
        </w:rPr>
        <w:t xml:space="preserve">    </w:t>
      </w:r>
    </w:p>
    <w:p w14:paraId="46670E6E">
      <w:pPr>
        <w:ind w:firstLine="4200" w:firstLineChars="15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华兰生物疫苗股份有限公司</w:t>
      </w:r>
    </w:p>
    <w:p w14:paraId="66567AF8">
      <w:pPr>
        <w:ind w:firstLine="4760" w:firstLineChars="1700"/>
        <w:rPr>
          <w:rFonts w:hint="eastAsia" w:ascii="黑体" w:hAnsi="黑体" w:eastAsia="黑体" w:cs="黑体"/>
          <w:sz w:val="28"/>
          <w:szCs w:val="28"/>
        </w:rPr>
      </w:pPr>
      <w:r>
        <w:rPr>
          <w:rFonts w:hint="eastAsia" w:ascii="黑体" w:hAnsi="黑体" w:eastAsia="黑体" w:cs="黑体"/>
          <w:sz w:val="28"/>
          <w:szCs w:val="28"/>
        </w:rPr>
        <w:t>202</w:t>
      </w:r>
      <w:r>
        <w:rPr>
          <w:rFonts w:hint="eastAsia" w:ascii="黑体" w:hAnsi="黑体" w:eastAsia="黑体" w:cs="黑体"/>
          <w:sz w:val="28"/>
          <w:szCs w:val="28"/>
          <w:lang w:val="en-US" w:eastAsia="zh-CN"/>
        </w:rPr>
        <w:t>6</w:t>
      </w:r>
      <w:r>
        <w:rPr>
          <w:rFonts w:hint="eastAsia" w:ascii="黑体" w:hAnsi="黑体" w:eastAsia="黑体" w:cs="黑体"/>
          <w:sz w:val="28"/>
          <w:szCs w:val="28"/>
        </w:rPr>
        <w:t>年</w:t>
      </w:r>
      <w:r>
        <w:rPr>
          <w:rFonts w:hint="eastAsia" w:ascii="黑体" w:hAnsi="黑体" w:eastAsia="黑体" w:cs="黑体"/>
          <w:sz w:val="28"/>
          <w:szCs w:val="28"/>
          <w:lang w:val="en-US" w:eastAsia="zh-CN"/>
        </w:rPr>
        <w:t>7</w:t>
      </w:r>
      <w:r>
        <w:rPr>
          <w:rFonts w:hint="eastAsia" w:ascii="黑体" w:hAnsi="黑体" w:eastAsia="黑体" w:cs="黑体"/>
          <w:sz w:val="28"/>
          <w:szCs w:val="28"/>
        </w:rPr>
        <w:t>月</w:t>
      </w:r>
      <w:r>
        <w:rPr>
          <w:rFonts w:hint="eastAsia" w:ascii="黑体" w:hAnsi="黑体" w:eastAsia="黑体" w:cs="黑体"/>
          <w:sz w:val="28"/>
          <w:szCs w:val="28"/>
          <w:lang w:val="en-US" w:eastAsia="zh-CN"/>
        </w:rPr>
        <w:t>30</w:t>
      </w:r>
      <w:r>
        <w:rPr>
          <w:rFonts w:hint="eastAsia" w:ascii="黑体" w:hAnsi="黑体" w:eastAsia="黑体" w:cs="黑体"/>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352A38"/>
    <w:rsid w:val="000872EB"/>
    <w:rsid w:val="000A68F6"/>
    <w:rsid w:val="000E25B6"/>
    <w:rsid w:val="000F6E47"/>
    <w:rsid w:val="001044AB"/>
    <w:rsid w:val="00156073"/>
    <w:rsid w:val="00161345"/>
    <w:rsid w:val="00167651"/>
    <w:rsid w:val="001F7456"/>
    <w:rsid w:val="001F76BE"/>
    <w:rsid w:val="00256FDA"/>
    <w:rsid w:val="002644B5"/>
    <w:rsid w:val="002B7DBB"/>
    <w:rsid w:val="002E4E3F"/>
    <w:rsid w:val="002E77F9"/>
    <w:rsid w:val="00312EBF"/>
    <w:rsid w:val="00352A38"/>
    <w:rsid w:val="00377928"/>
    <w:rsid w:val="003845CD"/>
    <w:rsid w:val="00395836"/>
    <w:rsid w:val="003C2239"/>
    <w:rsid w:val="00471A81"/>
    <w:rsid w:val="00571BB9"/>
    <w:rsid w:val="005A1CE4"/>
    <w:rsid w:val="005C4C06"/>
    <w:rsid w:val="005F6D86"/>
    <w:rsid w:val="006415FC"/>
    <w:rsid w:val="00696177"/>
    <w:rsid w:val="006A233B"/>
    <w:rsid w:val="006D6B2A"/>
    <w:rsid w:val="00744AE8"/>
    <w:rsid w:val="007950CF"/>
    <w:rsid w:val="007B7155"/>
    <w:rsid w:val="007F1703"/>
    <w:rsid w:val="00803330"/>
    <w:rsid w:val="00814477"/>
    <w:rsid w:val="00815CAA"/>
    <w:rsid w:val="00847150"/>
    <w:rsid w:val="00871C09"/>
    <w:rsid w:val="008F43CD"/>
    <w:rsid w:val="008F4D4C"/>
    <w:rsid w:val="009242B4"/>
    <w:rsid w:val="00A04FDE"/>
    <w:rsid w:val="00B4318E"/>
    <w:rsid w:val="00BB4D84"/>
    <w:rsid w:val="00BD7A05"/>
    <w:rsid w:val="00BF67B6"/>
    <w:rsid w:val="00C04292"/>
    <w:rsid w:val="00C44FDF"/>
    <w:rsid w:val="00C674AC"/>
    <w:rsid w:val="00CE78C0"/>
    <w:rsid w:val="00CF246E"/>
    <w:rsid w:val="00D0350F"/>
    <w:rsid w:val="00D120B1"/>
    <w:rsid w:val="00D2595E"/>
    <w:rsid w:val="00D34030"/>
    <w:rsid w:val="00D513D9"/>
    <w:rsid w:val="00D536F7"/>
    <w:rsid w:val="00D87815"/>
    <w:rsid w:val="00DC22DA"/>
    <w:rsid w:val="00DD2882"/>
    <w:rsid w:val="00DD4A4E"/>
    <w:rsid w:val="00DE4432"/>
    <w:rsid w:val="00E42EE8"/>
    <w:rsid w:val="00E90355"/>
    <w:rsid w:val="00EC597D"/>
    <w:rsid w:val="00ED72F5"/>
    <w:rsid w:val="00F0162A"/>
    <w:rsid w:val="00F10786"/>
    <w:rsid w:val="00F767CF"/>
    <w:rsid w:val="00F84B4E"/>
    <w:rsid w:val="03C70179"/>
    <w:rsid w:val="050E3850"/>
    <w:rsid w:val="077741FC"/>
    <w:rsid w:val="088B47F9"/>
    <w:rsid w:val="095A0BB2"/>
    <w:rsid w:val="0AA57E9A"/>
    <w:rsid w:val="0B002DF0"/>
    <w:rsid w:val="0B2E72C7"/>
    <w:rsid w:val="0B7E53C2"/>
    <w:rsid w:val="0C272694"/>
    <w:rsid w:val="0CD93263"/>
    <w:rsid w:val="0CE128BA"/>
    <w:rsid w:val="0D3F3A0E"/>
    <w:rsid w:val="106317C1"/>
    <w:rsid w:val="130265BC"/>
    <w:rsid w:val="149B2D69"/>
    <w:rsid w:val="14B46A8F"/>
    <w:rsid w:val="17955B84"/>
    <w:rsid w:val="184A7266"/>
    <w:rsid w:val="1B35029A"/>
    <w:rsid w:val="1F883EE7"/>
    <w:rsid w:val="224D22D1"/>
    <w:rsid w:val="233F1C1A"/>
    <w:rsid w:val="24FE5B05"/>
    <w:rsid w:val="256E2C8A"/>
    <w:rsid w:val="27E7122A"/>
    <w:rsid w:val="286F1558"/>
    <w:rsid w:val="29C25353"/>
    <w:rsid w:val="2A2B2EF8"/>
    <w:rsid w:val="2DF87595"/>
    <w:rsid w:val="2FDA5B67"/>
    <w:rsid w:val="320F4EAD"/>
    <w:rsid w:val="32665912"/>
    <w:rsid w:val="32814A92"/>
    <w:rsid w:val="37D4244B"/>
    <w:rsid w:val="38223824"/>
    <w:rsid w:val="39030A6E"/>
    <w:rsid w:val="3938118D"/>
    <w:rsid w:val="39736E9C"/>
    <w:rsid w:val="39C33B53"/>
    <w:rsid w:val="39E1352E"/>
    <w:rsid w:val="3C860462"/>
    <w:rsid w:val="3DEF5D3E"/>
    <w:rsid w:val="3E236BE4"/>
    <w:rsid w:val="3E2A03D1"/>
    <w:rsid w:val="3E780C81"/>
    <w:rsid w:val="402C12DE"/>
    <w:rsid w:val="40646D0C"/>
    <w:rsid w:val="40842B91"/>
    <w:rsid w:val="45C85F51"/>
    <w:rsid w:val="479B0C4C"/>
    <w:rsid w:val="480E2AC1"/>
    <w:rsid w:val="491A08B0"/>
    <w:rsid w:val="4A5D18C0"/>
    <w:rsid w:val="4B923002"/>
    <w:rsid w:val="4CE66464"/>
    <w:rsid w:val="4E6E6A3D"/>
    <w:rsid w:val="4F4E2E46"/>
    <w:rsid w:val="4F5A7C58"/>
    <w:rsid w:val="50D457E8"/>
    <w:rsid w:val="50ED1381"/>
    <w:rsid w:val="529E1380"/>
    <w:rsid w:val="532F1BFC"/>
    <w:rsid w:val="558D0C8F"/>
    <w:rsid w:val="55C04645"/>
    <w:rsid w:val="56567019"/>
    <w:rsid w:val="57962401"/>
    <w:rsid w:val="580746F5"/>
    <w:rsid w:val="583A35F4"/>
    <w:rsid w:val="5A4C6B9F"/>
    <w:rsid w:val="5AE42D27"/>
    <w:rsid w:val="5DE24ECA"/>
    <w:rsid w:val="5E7423B8"/>
    <w:rsid w:val="5ED158E6"/>
    <w:rsid w:val="5EEA285E"/>
    <w:rsid w:val="5F4F3D72"/>
    <w:rsid w:val="62287B59"/>
    <w:rsid w:val="630006BE"/>
    <w:rsid w:val="63A63014"/>
    <w:rsid w:val="647B5F2F"/>
    <w:rsid w:val="64A20EC5"/>
    <w:rsid w:val="65B03CD6"/>
    <w:rsid w:val="66742F55"/>
    <w:rsid w:val="66D17929"/>
    <w:rsid w:val="685F7972"/>
    <w:rsid w:val="68C857DA"/>
    <w:rsid w:val="69940603"/>
    <w:rsid w:val="6BF64EAE"/>
    <w:rsid w:val="6D9E60BA"/>
    <w:rsid w:val="70EE1B56"/>
    <w:rsid w:val="76F61765"/>
    <w:rsid w:val="77964FDE"/>
    <w:rsid w:val="77F95E5B"/>
    <w:rsid w:val="781E1F91"/>
    <w:rsid w:val="7CA95D92"/>
    <w:rsid w:val="7CB42987"/>
    <w:rsid w:val="7D0746CC"/>
    <w:rsid w:val="7D3C558A"/>
    <w:rsid w:val="7DB83323"/>
    <w:rsid w:val="7DE642E1"/>
    <w:rsid w:val="7DFD162B"/>
    <w:rsid w:val="7F3157BC"/>
    <w:rsid w:val="7FBB17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qFormat/>
    <w:uiPriority w:val="0"/>
    <w:pPr>
      <w:tabs>
        <w:tab w:val="left" w:pos="720"/>
      </w:tabs>
      <w:spacing w:before="100" w:after="100"/>
      <w:outlineLvl w:val="1"/>
    </w:pPr>
    <w:rPr>
      <w:rFonts w:ascii="黑体" w:hAnsi="黑体" w:eastAsia="黑体" w:cs="宋体"/>
      <w:bCs/>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pPr>
      <w:spacing w:after="120"/>
    </w:pPr>
    <w:rPr>
      <w:rFonts w:ascii="Times New Roman" w:hAnsi="Times New Roman"/>
    </w:rPr>
  </w:style>
  <w:style w:type="paragraph" w:styleId="4">
    <w:name w:val="Body Text Indent"/>
    <w:basedOn w:val="1"/>
    <w:next w:val="5"/>
    <w:autoRedefine/>
    <w:unhideWhenUsed/>
    <w:qFormat/>
    <w:uiPriority w:val="99"/>
    <w:pPr>
      <w:spacing w:after="120"/>
      <w:ind w:left="420" w:leftChars="200"/>
    </w:pPr>
  </w:style>
  <w:style w:type="paragraph" w:styleId="5">
    <w:name w:val="envelope return"/>
    <w:basedOn w:val="1"/>
    <w:autoRedefine/>
    <w:qFormat/>
    <w:uiPriority w:val="0"/>
    <w:rPr>
      <w:rFonts w:ascii="Arial" w:hAnsi="Arial"/>
    </w:rPr>
  </w:style>
  <w:style w:type="paragraph" w:styleId="6">
    <w:name w:val="footer"/>
    <w:basedOn w:val="1"/>
    <w:autoRedefine/>
    <w:semiHidden/>
    <w:unhideWhenUsed/>
    <w:qFormat/>
    <w:uiPriority w:val="99"/>
    <w:pPr>
      <w:tabs>
        <w:tab w:val="center" w:pos="4153"/>
        <w:tab w:val="right" w:pos="8306"/>
      </w:tabs>
      <w:snapToGrid w:val="0"/>
      <w:jc w:val="left"/>
    </w:pPr>
    <w:rPr>
      <w:sz w:val="18"/>
    </w:rPr>
  </w:style>
  <w:style w:type="paragraph" w:styleId="7">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rPr>
  </w:style>
  <w:style w:type="paragraph" w:styleId="9">
    <w:name w:val="Body Text First Indent"/>
    <w:basedOn w:val="3"/>
    <w:next w:val="10"/>
    <w:autoRedefine/>
    <w:qFormat/>
    <w:uiPriority w:val="0"/>
    <w:pPr>
      <w:ind w:firstLine="210" w:firstLineChars="100"/>
    </w:pPr>
    <w:rPr>
      <w:rFonts w:ascii="黑体" w:hAnsi="黑体" w:eastAsia="黑体"/>
      <w:b/>
      <w:sz w:val="32"/>
      <w:szCs w:val="32"/>
    </w:rPr>
  </w:style>
  <w:style w:type="paragraph" w:styleId="10">
    <w:name w:val="Body Text First Indent 2"/>
    <w:basedOn w:val="4"/>
    <w:next w:val="1"/>
    <w:autoRedefine/>
    <w:qFormat/>
    <w:uiPriority w:val="0"/>
    <w:pPr>
      <w:ind w:firstLine="420"/>
    </w:pPr>
  </w:style>
  <w:style w:type="character" w:styleId="13">
    <w:name w:val="Hyperlink"/>
    <w:basedOn w:val="12"/>
    <w:semiHidden/>
    <w:unhideWhenUsed/>
    <w:qFormat/>
    <w:uiPriority w:val="99"/>
    <w:rPr>
      <w:color w:val="0000FF"/>
      <w:u w:val="single"/>
    </w:rPr>
  </w:style>
  <w:style w:type="paragraph" w:styleId="14">
    <w:name w:val="List Paragraph"/>
    <w:basedOn w:val="1"/>
    <w:autoRedefine/>
    <w:qFormat/>
    <w:uiPriority w:val="34"/>
    <w:pPr>
      <w:ind w:firstLine="420" w:firstLineChars="200"/>
    </w:pPr>
  </w:style>
  <w:style w:type="paragraph" w:customStyle="1" w:styleId="15">
    <w:name w:val="前附表标题"/>
    <w:basedOn w:val="16"/>
    <w:autoRedefine/>
    <w:qFormat/>
    <w:uiPriority w:val="0"/>
    <w:pPr>
      <w:spacing w:line="240" w:lineRule="auto"/>
      <w:ind w:left="120" w:right="120"/>
      <w:jc w:val="center"/>
    </w:pPr>
    <w:rPr>
      <w:b/>
      <w:bCs/>
      <w:color w:val="auto"/>
      <w:lang w:val="zh-CN"/>
    </w:rPr>
  </w:style>
  <w:style w:type="paragraph" w:customStyle="1" w:styleId="16">
    <w:name w:val="前附表"/>
    <w:basedOn w:val="17"/>
    <w:autoRedefine/>
    <w:qFormat/>
    <w:uiPriority w:val="0"/>
    <w:pPr>
      <w:spacing w:line="440" w:lineRule="exact"/>
      <w:ind w:left="50" w:leftChars="50" w:right="50" w:rightChars="50"/>
    </w:pPr>
    <w:rPr>
      <w:rFonts w:cs="宋体"/>
      <w:color w:val="000000"/>
      <w:kern w:val="0"/>
      <w:szCs w:val="21"/>
    </w:rPr>
  </w:style>
  <w:style w:type="paragraph" w:customStyle="1" w:styleId="17">
    <w:name w:val="正文样式"/>
    <w:basedOn w:val="1"/>
    <w:autoRedefine/>
    <w:qFormat/>
    <w:uiPriority w:val="0"/>
  </w:style>
  <w:style w:type="paragraph" w:customStyle="1" w:styleId="18">
    <w:name w:val="前附表居中"/>
    <w:basedOn w:val="16"/>
    <w:autoRedefine/>
    <w:qFormat/>
    <w:uiPriority w:val="0"/>
    <w:pPr>
      <w:ind w:left="120" w:right="120"/>
      <w:jc w:val="center"/>
    </w:pPr>
    <w:rPr>
      <w:bCs/>
    </w:rPr>
  </w:style>
  <w:style w:type="paragraph" w:customStyle="1" w:styleId="19">
    <w:name w:val="无间隔11"/>
    <w:basedOn w:val="1"/>
    <w:autoRedefine/>
    <w:qFormat/>
    <w:uiPriority w:val="1"/>
    <w:pPr>
      <w:spacing w:line="400" w:lineRule="exact"/>
    </w:pPr>
  </w:style>
  <w:style w:type="character" w:customStyle="1" w:styleId="20">
    <w:name w:val="页眉 字符"/>
    <w:basedOn w:val="12"/>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ebd67a49-eb1a-4bc5-939f-2c64f862d62f</errorID>
      <errorWord>按照</errorWord>
      <group>L1_Word</group>
      <groupName>字词问题</groupName>
      <ability>L2_Typo</ability>
      <abilityName>字词错误</abilityName>
      <candidateList>
        <item>按</item>
      </candidateList>
      <explain/>
      <paraID>63E382D4</paraID>
      <start>104</start>
      <end>105</end>
      <status>modified</status>
      <modifiedWord>按</modifiedWord>
      <trackRevisions>false</trackRevisions>
    </reviewItem>
  </reviewItems>
  <config/>
</contractReview>
</file>

<file path=customXml/itemProps1.xml><?xml version="1.0" encoding="utf-8"?>
<ds:datastoreItem xmlns:ds="http://schemas.openxmlformats.org/officeDocument/2006/customXml" ds:itemID="{6e135fd9-1941-463a-8c1f-7527704def88}">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6</Pages>
  <Words>3467</Words>
  <Characters>3584</Characters>
  <Lines>20</Lines>
  <Paragraphs>5</Paragraphs>
  <TotalTime>34</TotalTime>
  <ScaleCrop>false</ScaleCrop>
  <LinksUpToDate>false</LinksUpToDate>
  <CharactersWithSpaces>3627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2024-05-29T01:56:00Z</dcterms:created>
  <dc:creator>新乡化纤童心</dc:creator>
  <cp:lastModifiedBy>机器人</cp:lastModifiedBy>
  <cp:lastPrinted>2026-07-22T08:23:00Z</cp:lastPrinted>
  <dcterms:modified xsi:type="dcterms:W3CDTF">2026-07-30T01:45:13Z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E4597CDF3B5D437F8A57B5688AFBFFC2_13</vt:lpwstr>
  </property>
  <property fmtid="{D5CDD505-2E9C-101B-9397-08002B2CF9AE}" pid="4" name="KSOTemplateDocerSaveRecord">
    <vt:lpwstr>eyJoZGlkIjoiNjc3ZDhkMDhmZTBmMjA1ZTg1MDk2NDcwMTg5MTFkYWIiLCJ1c2VySWQiOiIxMDAzMzE2NTg1In0=</vt:lpwstr>
  </property>
</Properties>
</file>